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2E10331E" w:rsidR="000F3C3E" w:rsidRPr="00A150BA" w:rsidRDefault="000F3C3E" w:rsidP="1FE05F9E">
      <w:pPr>
        <w:pStyle w:val="Header"/>
        <w:tabs>
          <w:tab w:val="right" w:pos="9639"/>
        </w:tabs>
        <w:jc w:val="both"/>
        <w:rPr>
          <w:rFonts w:cs="Arial"/>
          <w:i/>
          <w:iCs/>
          <w:sz w:val="24"/>
          <w:szCs w:val="24"/>
          <w:lang w:val="de-DE"/>
        </w:rPr>
      </w:pPr>
      <w:r w:rsidRPr="1FE05F9E">
        <w:rPr>
          <w:rFonts w:cs="Arial"/>
          <w:sz w:val="24"/>
          <w:szCs w:val="24"/>
          <w:lang w:val="de-DE"/>
        </w:rPr>
        <w:t>3GPP T</w:t>
      </w:r>
      <w:bookmarkStart w:id="0" w:name="_Ref452454252"/>
      <w:bookmarkEnd w:id="0"/>
      <w:r w:rsidRPr="1FE05F9E">
        <w:rPr>
          <w:rFonts w:cs="Arial"/>
          <w:sz w:val="24"/>
          <w:szCs w:val="24"/>
          <w:lang w:val="de-DE"/>
        </w:rPr>
        <w:t>SG-RAN WG3#</w:t>
      </w:r>
      <w:r w:rsidR="003446B2" w:rsidRPr="1FE05F9E">
        <w:rPr>
          <w:rFonts w:cs="Arial"/>
          <w:sz w:val="24"/>
          <w:szCs w:val="24"/>
          <w:lang w:val="de-DE"/>
        </w:rPr>
        <w:t>1</w:t>
      </w:r>
      <w:r w:rsidR="00E86792" w:rsidRPr="1FE05F9E">
        <w:rPr>
          <w:rFonts w:cs="Arial"/>
          <w:sz w:val="24"/>
          <w:szCs w:val="24"/>
          <w:lang w:val="de-DE"/>
        </w:rPr>
        <w:t>2</w:t>
      </w:r>
      <w:r w:rsidR="006A136C" w:rsidRPr="1FE05F9E">
        <w:rPr>
          <w:rFonts w:cs="Arial"/>
          <w:sz w:val="24"/>
          <w:szCs w:val="24"/>
          <w:lang w:val="de-DE"/>
        </w:rPr>
        <w:t>5</w:t>
      </w:r>
      <w:r w:rsidR="00752A88">
        <w:rPr>
          <w:rFonts w:cs="Arial" w:hint="eastAsia"/>
          <w:sz w:val="24"/>
          <w:szCs w:val="24"/>
          <w:lang w:val="de-DE"/>
        </w:rPr>
        <w:t>bis</w:t>
      </w:r>
      <w:r w:rsidR="00E86792" w:rsidRPr="1FE05F9E">
        <w:rPr>
          <w:rFonts w:cs="Arial"/>
          <w:sz w:val="24"/>
          <w:szCs w:val="24"/>
          <w:lang w:val="de-DE"/>
        </w:rPr>
        <w:t xml:space="preserve"> </w:t>
      </w:r>
      <w:r>
        <w:tab/>
      </w:r>
      <w:r w:rsidR="003E5F28" w:rsidRPr="1FE05F9E">
        <w:rPr>
          <w:rFonts w:cs="Arial"/>
          <w:sz w:val="24"/>
          <w:szCs w:val="24"/>
          <w:lang w:val="de-DE"/>
        </w:rPr>
        <w:t>R3-</w:t>
      </w:r>
      <w:r w:rsidR="003446B2" w:rsidRPr="1FE05F9E">
        <w:rPr>
          <w:rFonts w:cs="Arial"/>
          <w:sz w:val="24"/>
          <w:szCs w:val="24"/>
          <w:lang w:val="de-DE"/>
        </w:rPr>
        <w:t>2</w:t>
      </w:r>
      <w:r w:rsidR="00F716F3" w:rsidRPr="1FE05F9E">
        <w:rPr>
          <w:rFonts w:cs="Arial"/>
          <w:sz w:val="24"/>
          <w:szCs w:val="24"/>
          <w:lang w:val="de-DE"/>
        </w:rPr>
        <w:t>4</w:t>
      </w:r>
      <w:r w:rsidR="008352E9">
        <w:rPr>
          <w:rFonts w:cs="Arial"/>
          <w:sz w:val="24"/>
          <w:szCs w:val="24"/>
          <w:lang w:val="de-DE"/>
        </w:rPr>
        <w:t>5044</w:t>
      </w:r>
    </w:p>
    <w:p w14:paraId="7DE4A54D" w14:textId="666B086D" w:rsidR="00045E2D" w:rsidRDefault="00752A88" w:rsidP="00045E2D">
      <w:pPr>
        <w:pStyle w:val="Header"/>
        <w:jc w:val="both"/>
        <w:rPr>
          <w:rFonts w:eastAsia="MS Mincho" w:cs="Arial"/>
          <w:noProof w:val="0"/>
          <w:sz w:val="24"/>
          <w:szCs w:val="24"/>
        </w:rPr>
      </w:pPr>
      <w:r>
        <w:rPr>
          <w:rFonts w:eastAsia="MS Mincho" w:cs="Arial" w:hint="eastAsia"/>
          <w:noProof w:val="0"/>
          <w:sz w:val="24"/>
          <w:szCs w:val="24"/>
        </w:rPr>
        <w:t>Hefei, China,</w:t>
      </w:r>
      <w:r w:rsidR="006A136C">
        <w:rPr>
          <w:rFonts w:eastAsia="MS Mincho" w:cs="Arial" w:hint="eastAsia"/>
          <w:noProof w:val="0"/>
          <w:sz w:val="24"/>
          <w:szCs w:val="24"/>
        </w:rPr>
        <w:t xml:space="preserve"> 1</w:t>
      </w:r>
      <w:r>
        <w:rPr>
          <w:rFonts w:eastAsia="MS Mincho" w:cs="Arial" w:hint="eastAsia"/>
          <w:noProof w:val="0"/>
          <w:sz w:val="24"/>
          <w:szCs w:val="24"/>
        </w:rPr>
        <w:t>4-18</w:t>
      </w:r>
      <w:r w:rsidR="006A136C">
        <w:rPr>
          <w:rFonts w:eastAsia="MS Mincho" w:cs="Arial" w:hint="eastAsia"/>
          <w:noProof w:val="0"/>
          <w:sz w:val="24"/>
          <w:szCs w:val="24"/>
        </w:rPr>
        <w:t xml:space="preserve"> </w:t>
      </w:r>
      <w:r>
        <w:rPr>
          <w:rFonts w:eastAsia="MS Mincho" w:cs="Arial" w:hint="eastAsia"/>
          <w:noProof w:val="0"/>
          <w:sz w:val="24"/>
          <w:szCs w:val="24"/>
        </w:rPr>
        <w:t>October</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4ACCE74"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925D2D" w:rsidRPr="00925D2D">
        <w:rPr>
          <w:rFonts w:cs="Arial"/>
          <w:b/>
          <w:bCs/>
          <w:sz w:val="24"/>
        </w:rPr>
        <w:t>8.1. New Incoming LSs</w:t>
      </w:r>
    </w:p>
    <w:p w14:paraId="331E8E40" w14:textId="68E03C08"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r w:rsidR="008352E9">
        <w:rPr>
          <w:rFonts w:ascii="Arial" w:hAnsi="Arial" w:cs="Arial"/>
          <w:b/>
          <w:bCs/>
          <w:sz w:val="24"/>
        </w:rPr>
        <w:t>, LG Electronics</w:t>
      </w:r>
      <w:r w:rsidR="005D746C">
        <w:rPr>
          <w:rFonts w:ascii="Arial" w:hAnsi="Arial" w:cs="Arial"/>
          <w:b/>
          <w:bCs/>
          <w:sz w:val="24"/>
        </w:rPr>
        <w:t>, NTT Docomo</w:t>
      </w:r>
    </w:p>
    <w:p w14:paraId="3643FFD2" w14:textId="7F8141E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752A88">
        <w:rPr>
          <w:rFonts w:ascii="Arial" w:hAnsi="Arial" w:cs="Arial" w:hint="eastAsia"/>
          <w:b/>
          <w:bCs/>
          <w:sz w:val="24"/>
          <w:szCs w:val="24"/>
          <w:lang w:eastAsia="ja-JP"/>
        </w:rPr>
        <w:t>L3 L1/2 Triggered Mobility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16A0A096" w14:textId="529EFBE4" w:rsidR="00752A88" w:rsidRDefault="00752A88" w:rsidP="00752A88">
      <w:pPr>
        <w:jc w:val="both"/>
      </w:pPr>
      <w:bookmarkStart w:id="1" w:name="_Toc474247438"/>
      <w:r>
        <w:rPr>
          <w:noProof/>
        </w:rPr>
        <w:t xml:space="preserve">In RAN4#111, agreement was made according to which, </w:t>
      </w:r>
      <w:r>
        <w:rPr>
          <w:rFonts w:hint="eastAsia"/>
          <w:noProof/>
          <w:lang w:eastAsia="ja-JP"/>
        </w:rPr>
        <w:t xml:space="preserve">LTM </w:t>
      </w:r>
      <w:r>
        <w:rPr>
          <w:noProof/>
        </w:rPr>
        <w:t xml:space="preserve">cell switch requirement is applicable without L1 measurement and report for FR1. </w:t>
      </w:r>
      <w:r>
        <w:t xml:space="preserve">This paper discusses the </w:t>
      </w:r>
      <w:r>
        <w:rPr>
          <w:rFonts w:hint="eastAsia"/>
          <w:lang w:eastAsia="ja-JP"/>
        </w:rPr>
        <w:t xml:space="preserve">required support for disaggregated gNB architecture and impact to F1AP </w:t>
      </w:r>
      <w:r>
        <w:t>signalling.</w:t>
      </w:r>
    </w:p>
    <w:p w14:paraId="68CA598C" w14:textId="77777777" w:rsidR="00925387" w:rsidRDefault="00925387" w:rsidP="00925387"/>
    <w:bookmarkEnd w:id="1"/>
    <w:p w14:paraId="35DA2DAC" w14:textId="1DF1D4DF" w:rsidR="00925387" w:rsidRDefault="00925387" w:rsidP="00925387">
      <w:pPr>
        <w:pStyle w:val="Heading1"/>
        <w:tabs>
          <w:tab w:val="left" w:pos="2410"/>
        </w:tabs>
      </w:pPr>
      <w:r>
        <w:t>2</w:t>
      </w:r>
      <w:r w:rsidRPr="00B704B9">
        <w:tab/>
      </w:r>
      <w:r w:rsidR="00752A88">
        <w:rPr>
          <w:rFonts w:hint="eastAsia"/>
          <w:lang w:eastAsia="ja-JP"/>
        </w:rPr>
        <w:t>Background</w:t>
      </w:r>
    </w:p>
    <w:p w14:paraId="0CACDB47" w14:textId="3FCC4155" w:rsidR="00752A88" w:rsidRDefault="00752A88" w:rsidP="00450D22">
      <w:pPr>
        <w:jc w:val="both"/>
        <w:rPr>
          <w:noProof/>
          <w:lang w:eastAsia="ja-JP"/>
        </w:rPr>
      </w:pPr>
      <w:r>
        <w:rPr>
          <w:noProof/>
        </w:rPr>
        <w:t xml:space="preserve">In RAN4# 111, agreement was made according to which, </w:t>
      </w:r>
      <w:r>
        <w:rPr>
          <w:rFonts w:hint="eastAsia"/>
          <w:noProof/>
          <w:lang w:eastAsia="ja-JP"/>
        </w:rPr>
        <w:t xml:space="preserve">LTM </w:t>
      </w:r>
      <w:r>
        <w:rPr>
          <w:noProof/>
        </w:rPr>
        <w:t>cell switch requirement is applicable without L1 measurement and report for FR1</w:t>
      </w:r>
      <w:r>
        <w:rPr>
          <w:rFonts w:hint="eastAsia"/>
          <w:noProof/>
          <w:lang w:eastAsia="ja-JP"/>
        </w:rPr>
        <w:t xml:space="preserve"> (R4-2410302)</w:t>
      </w:r>
      <w:r>
        <w:rPr>
          <w:noProof/>
        </w:rPr>
        <w:t xml:space="preserve">. </w:t>
      </w:r>
      <w:r>
        <w:rPr>
          <w:rFonts w:hint="eastAsia"/>
          <w:noProof/>
          <w:lang w:eastAsia="ja-JP"/>
        </w:rPr>
        <w:t>Further, an LS was sent to RAN2 informing this decision (</w:t>
      </w:r>
      <w:r w:rsidRPr="00752A88">
        <w:rPr>
          <w:noProof/>
          <w:lang w:eastAsia="ja-JP"/>
        </w:rPr>
        <w:t>R2-2406227)</w:t>
      </w:r>
      <w:r>
        <w:rPr>
          <w:rFonts w:hint="eastAsia"/>
          <w:noProof/>
          <w:lang w:eastAsia="ja-JP"/>
        </w:rPr>
        <w:t>.</w:t>
      </w:r>
    </w:p>
    <w:p w14:paraId="0FA4A486" w14:textId="4F3935DD" w:rsidR="00044686" w:rsidRDefault="00044686" w:rsidP="00450D22">
      <w:pPr>
        <w:jc w:val="both"/>
        <w:rPr>
          <w:noProof/>
          <w:lang w:eastAsia="ja-JP"/>
        </w:rPr>
      </w:pPr>
      <w:r>
        <w:rPr>
          <w:rFonts w:hint="eastAsia"/>
          <w:noProof/>
          <w:lang w:eastAsia="ja-JP"/>
        </w:rPr>
        <w:t>Further, RAN2 discussed the RAN4 response and issued an LS to RAN3 requesting support over F1 for this functionality (</w:t>
      </w:r>
      <w:r w:rsidRPr="00044686">
        <w:rPr>
          <w:noProof/>
          <w:lang w:eastAsia="ja-JP"/>
        </w:rPr>
        <w:t>R2-2407606</w:t>
      </w:r>
      <w:r>
        <w:rPr>
          <w:rFonts w:hint="eastAsia"/>
          <w:noProof/>
          <w:lang w:eastAsia="ja-JP"/>
        </w:rPr>
        <w:t>)</w:t>
      </w:r>
    </w:p>
    <w:p w14:paraId="0129372A" w14:textId="4B50274B" w:rsidR="00752A88" w:rsidRPr="00044686" w:rsidRDefault="00044686" w:rsidP="00450D22">
      <w:pPr>
        <w:jc w:val="both"/>
        <w:rPr>
          <w:b/>
          <w:bCs/>
          <w:noProof/>
          <w:lang w:eastAsia="ja-JP"/>
        </w:rPr>
      </w:pPr>
      <w:r w:rsidRPr="00044686">
        <w:rPr>
          <w:rFonts w:hint="eastAsia"/>
          <w:b/>
          <w:bCs/>
          <w:noProof/>
          <w:lang w:eastAsia="ja-JP"/>
        </w:rPr>
        <w:t>Excerpt from R4-2410302</w:t>
      </w:r>
      <w:r>
        <w:rPr>
          <w:rFonts w:hint="eastAsia"/>
          <w:b/>
          <w:bCs/>
          <w:noProof/>
          <w:lang w:eastAsia="ja-JP"/>
        </w:rPr>
        <w:t xml:space="preserve"> (RAN4 decision)</w:t>
      </w:r>
    </w:p>
    <w:tbl>
      <w:tblPr>
        <w:tblStyle w:val="TableGrid"/>
        <w:tblW w:w="0" w:type="auto"/>
        <w:tblLook w:val="04A0" w:firstRow="1" w:lastRow="0" w:firstColumn="1" w:lastColumn="0" w:noHBand="0" w:noVBand="1"/>
      </w:tblPr>
      <w:tblGrid>
        <w:gridCol w:w="9629"/>
      </w:tblGrid>
      <w:tr w:rsidR="00752A88" w14:paraId="24F342D6" w14:textId="77777777" w:rsidTr="00752A88">
        <w:tc>
          <w:tcPr>
            <w:tcW w:w="9629" w:type="dxa"/>
          </w:tcPr>
          <w:p w14:paraId="0CB1F5D6" w14:textId="77777777" w:rsidR="00752A88" w:rsidRPr="00752A88" w:rsidRDefault="00752A88" w:rsidP="00752A88">
            <w:pPr>
              <w:keepNext/>
              <w:keepLines/>
              <w:pBdr>
                <w:top w:val="single" w:sz="12" w:space="3" w:color="auto"/>
              </w:pBdr>
              <w:overflowPunct w:val="0"/>
              <w:autoSpaceDE w:val="0"/>
              <w:autoSpaceDN w:val="0"/>
              <w:adjustRightInd w:val="0"/>
              <w:spacing w:before="240"/>
              <w:ind w:left="432"/>
              <w:textAlignment w:val="baseline"/>
              <w:outlineLvl w:val="0"/>
              <w:rPr>
                <w:rFonts w:ascii="Arial" w:eastAsia="Times New Roman" w:hAnsi="Arial"/>
                <w:color w:val="0070C0"/>
                <w:sz w:val="36"/>
                <w:lang w:val="en-US" w:eastAsia="ja-JP"/>
              </w:rPr>
            </w:pPr>
            <w:r w:rsidRPr="00752A88">
              <w:rPr>
                <w:rFonts w:ascii="Arial" w:eastAsia="Times New Roman" w:hAnsi="Arial"/>
                <w:color w:val="0070C0"/>
                <w:sz w:val="36"/>
                <w:lang w:val="en-US" w:eastAsia="ja-JP"/>
              </w:rPr>
              <w:t>4. Topic #4: LTM – RAN2 LS</w:t>
            </w:r>
          </w:p>
          <w:p w14:paraId="2230D641" w14:textId="77777777" w:rsidR="00752A88" w:rsidRPr="00752A88" w:rsidRDefault="00752A88" w:rsidP="00752A88">
            <w:pPr>
              <w:autoSpaceDN w:val="0"/>
              <w:spacing w:after="120"/>
              <w:rPr>
                <w:rFonts w:eastAsia="SimSun"/>
                <w:color w:val="0070C0"/>
                <w:szCs w:val="24"/>
                <w:lang w:eastAsia="zh-CN"/>
              </w:rPr>
            </w:pPr>
            <w:r w:rsidRPr="00752A88">
              <w:rPr>
                <w:rFonts w:eastAsia="SimSun" w:hint="eastAsia"/>
                <w:color w:val="0070C0"/>
                <w:szCs w:val="24"/>
                <w:lang w:eastAsia="zh-CN"/>
              </w:rPr>
              <w:t>D</w:t>
            </w:r>
            <w:r w:rsidRPr="00752A88">
              <w:rPr>
                <w:rFonts w:eastAsia="SimSun"/>
                <w:color w:val="0070C0"/>
                <w:szCs w:val="24"/>
                <w:lang w:eastAsia="zh-CN"/>
              </w:rPr>
              <w:t xml:space="preserve">iscuss the wording in the </w:t>
            </w:r>
            <w:proofErr w:type="gramStart"/>
            <w:r w:rsidRPr="00752A88">
              <w:rPr>
                <w:rFonts w:eastAsia="SimSun"/>
                <w:color w:val="0070C0"/>
                <w:szCs w:val="24"/>
                <w:lang w:eastAsia="zh-CN"/>
              </w:rPr>
              <w:t>reply</w:t>
            </w:r>
            <w:proofErr w:type="gramEnd"/>
            <w:r w:rsidRPr="00752A88">
              <w:rPr>
                <w:rFonts w:eastAsia="SimSun"/>
                <w:color w:val="0070C0"/>
                <w:szCs w:val="24"/>
                <w:lang w:eastAsia="zh-CN"/>
              </w:rPr>
              <w:t xml:space="preserve"> LS.</w:t>
            </w:r>
          </w:p>
          <w:p w14:paraId="46984857" w14:textId="77777777" w:rsidR="00752A88" w:rsidRPr="00752A88" w:rsidRDefault="00752A88" w:rsidP="00752A88">
            <w:pPr>
              <w:overflowPunct w:val="0"/>
              <w:autoSpaceDE w:val="0"/>
              <w:autoSpaceDN w:val="0"/>
              <w:adjustRightInd w:val="0"/>
              <w:spacing w:afterLines="50" w:after="120"/>
              <w:textAlignment w:val="baseline"/>
              <w:rPr>
                <w:rFonts w:eastAsia="DengXian"/>
                <w:bCs/>
                <w:i/>
                <w:iCs/>
                <w:color w:val="0070C0"/>
                <w:sz w:val="21"/>
                <w:szCs w:val="21"/>
                <w:lang w:eastAsia="zh-CN"/>
              </w:rPr>
            </w:pPr>
            <w:r w:rsidRPr="00752A88">
              <w:rPr>
                <w:rFonts w:eastAsia="DengXian"/>
                <w:bCs/>
                <w:i/>
                <w:iCs/>
                <w:color w:val="0070C0"/>
                <w:sz w:val="21"/>
                <w:szCs w:val="21"/>
                <w:lang w:eastAsia="zh-CN"/>
              </w:rPr>
              <w:t>Online agreement</w:t>
            </w:r>
          </w:p>
          <w:p w14:paraId="5B1C0B71" w14:textId="77777777" w:rsidR="00752A88" w:rsidRPr="00752A88" w:rsidRDefault="00752A88" w:rsidP="00752A88">
            <w:pPr>
              <w:overflowPunct w:val="0"/>
              <w:autoSpaceDE w:val="0"/>
              <w:autoSpaceDN w:val="0"/>
              <w:adjustRightInd w:val="0"/>
              <w:spacing w:afterLines="50" w:after="120"/>
              <w:textAlignment w:val="baseline"/>
              <w:rPr>
                <w:rFonts w:eastAsia="DengXian"/>
                <w:bCs/>
                <w:color w:val="0070C0"/>
                <w:sz w:val="21"/>
                <w:szCs w:val="21"/>
                <w:lang w:eastAsia="zh-CN"/>
              </w:rPr>
            </w:pPr>
            <w:r w:rsidRPr="00752A88">
              <w:rPr>
                <w:rFonts w:eastAsia="Times New Roman"/>
                <w:bCs/>
                <w:color w:val="0070C0"/>
                <w:sz w:val="21"/>
                <w:szCs w:val="21"/>
                <w:lang w:eastAsia="zh-CN"/>
              </w:rPr>
              <w:t xml:space="preserve">&lt; </w:t>
            </w:r>
            <w:r w:rsidRPr="00752A88">
              <w:rPr>
                <w:rFonts w:eastAsia="Times New Roman"/>
                <w:b/>
                <w:color w:val="0070C0"/>
                <w:lang w:eastAsia="en-GB"/>
              </w:rPr>
              <w:t>Agreement</w:t>
            </w:r>
            <w:r w:rsidRPr="00752A88">
              <w:rPr>
                <w:rFonts w:eastAsia="Times New Roman"/>
                <w:bCs/>
                <w:color w:val="0070C0"/>
                <w:sz w:val="21"/>
                <w:szCs w:val="21"/>
                <w:lang w:eastAsia="zh-CN"/>
              </w:rPr>
              <w:t xml:space="preserve">&gt;: </w:t>
            </w:r>
          </w:p>
          <w:p w14:paraId="5DEFE616" w14:textId="77777777" w:rsidR="00752A88" w:rsidRPr="00752A88" w:rsidRDefault="00752A88" w:rsidP="000566B9">
            <w:pPr>
              <w:numPr>
                <w:ilvl w:val="0"/>
                <w:numId w:val="12"/>
              </w:numPr>
              <w:overflowPunct w:val="0"/>
              <w:autoSpaceDE w:val="0"/>
              <w:autoSpaceDN w:val="0"/>
              <w:adjustRightInd w:val="0"/>
              <w:spacing w:after="120"/>
              <w:ind w:left="936"/>
              <w:textAlignment w:val="baseline"/>
              <w:rPr>
                <w:rFonts w:eastAsia="Times New Roman"/>
                <w:bCs/>
                <w:color w:val="0070C0"/>
                <w:sz w:val="21"/>
                <w:szCs w:val="21"/>
                <w:lang w:eastAsia="zh-CN"/>
              </w:rPr>
            </w:pPr>
            <w:r w:rsidRPr="00752A88">
              <w:rPr>
                <w:rFonts w:eastAsia="Times New Roman"/>
                <w:bCs/>
                <w:color w:val="0070C0"/>
                <w:szCs w:val="21"/>
                <w:highlight w:val="yellow"/>
                <w:lang w:eastAsia="en-GB"/>
              </w:rPr>
              <w:t>For FR1, the cell switch delay requirement is applicable for the case without L1 measurement and report</w:t>
            </w:r>
            <w:r w:rsidRPr="00752A88">
              <w:rPr>
                <w:rFonts w:eastAsia="Times New Roman"/>
                <w:bCs/>
                <w:color w:val="0070C0"/>
                <w:szCs w:val="21"/>
                <w:lang w:eastAsia="en-GB"/>
              </w:rPr>
              <w:t>, under certain conditions.</w:t>
            </w:r>
          </w:p>
          <w:p w14:paraId="575AB361" w14:textId="77777777" w:rsidR="00752A88" w:rsidRPr="00752A88" w:rsidRDefault="00752A88" w:rsidP="000566B9">
            <w:pPr>
              <w:numPr>
                <w:ilvl w:val="1"/>
                <w:numId w:val="12"/>
              </w:numPr>
              <w:overflowPunct w:val="0"/>
              <w:autoSpaceDE w:val="0"/>
              <w:autoSpaceDN w:val="0"/>
              <w:adjustRightInd w:val="0"/>
              <w:spacing w:after="120"/>
              <w:ind w:left="1656"/>
              <w:textAlignment w:val="baseline"/>
              <w:rPr>
                <w:rFonts w:eastAsia="Times New Roman"/>
                <w:bCs/>
                <w:color w:val="0070C0"/>
                <w:szCs w:val="21"/>
                <w:lang w:eastAsia="en-GB"/>
              </w:rPr>
            </w:pPr>
            <w:r w:rsidRPr="00752A88">
              <w:rPr>
                <w:rFonts w:eastAsia="Times New Roman"/>
                <w:bCs/>
                <w:color w:val="0070C0"/>
                <w:szCs w:val="21"/>
                <w:lang w:eastAsia="en-GB"/>
              </w:rPr>
              <w:t>Further discuss the how the requirement applies together with the condition.</w:t>
            </w:r>
          </w:p>
          <w:p w14:paraId="4DA084D4" w14:textId="77777777" w:rsidR="00752A88" w:rsidRPr="00752A88" w:rsidRDefault="00752A88" w:rsidP="00752A88">
            <w:pPr>
              <w:overflowPunct w:val="0"/>
              <w:autoSpaceDE w:val="0"/>
              <w:autoSpaceDN w:val="0"/>
              <w:adjustRightInd w:val="0"/>
              <w:spacing w:afterLines="50" w:after="120"/>
              <w:textAlignment w:val="baseline"/>
              <w:rPr>
                <w:rFonts w:eastAsia="DengXian"/>
                <w:bCs/>
                <w:color w:val="0070C0"/>
                <w:sz w:val="21"/>
                <w:szCs w:val="21"/>
                <w:lang w:eastAsia="zh-CN"/>
              </w:rPr>
            </w:pPr>
            <w:r w:rsidRPr="00752A88">
              <w:rPr>
                <w:rFonts w:eastAsia="Times New Roman"/>
                <w:bCs/>
                <w:color w:val="0070C0"/>
                <w:sz w:val="21"/>
                <w:szCs w:val="21"/>
                <w:lang w:eastAsia="zh-CN"/>
              </w:rPr>
              <w:t xml:space="preserve">&lt; </w:t>
            </w:r>
            <w:r w:rsidRPr="00752A88">
              <w:rPr>
                <w:rFonts w:eastAsia="Times New Roman"/>
                <w:b/>
                <w:color w:val="0070C0"/>
                <w:lang w:eastAsia="en-GB"/>
              </w:rPr>
              <w:t>Agreement</w:t>
            </w:r>
            <w:r w:rsidRPr="00752A88">
              <w:rPr>
                <w:rFonts w:eastAsia="Times New Roman"/>
                <w:bCs/>
                <w:color w:val="0070C0"/>
                <w:sz w:val="21"/>
                <w:szCs w:val="21"/>
                <w:lang w:eastAsia="zh-CN"/>
              </w:rPr>
              <w:t xml:space="preserve">&gt;: </w:t>
            </w:r>
          </w:p>
          <w:p w14:paraId="221484C5" w14:textId="77777777" w:rsidR="00752A88" w:rsidRPr="00752A88" w:rsidRDefault="00752A88" w:rsidP="000566B9">
            <w:pPr>
              <w:numPr>
                <w:ilvl w:val="0"/>
                <w:numId w:val="12"/>
              </w:numPr>
              <w:overflowPunct w:val="0"/>
              <w:autoSpaceDE w:val="0"/>
              <w:autoSpaceDN w:val="0"/>
              <w:adjustRightInd w:val="0"/>
              <w:ind w:left="936"/>
              <w:textAlignment w:val="baseline"/>
              <w:rPr>
                <w:rFonts w:eastAsia="Times New Roman"/>
                <w:color w:val="0070C0"/>
                <w:szCs w:val="21"/>
                <w:lang w:eastAsia="zh-CN"/>
              </w:rPr>
            </w:pPr>
            <w:r w:rsidRPr="00752A88">
              <w:rPr>
                <w:rFonts w:eastAsia="Times New Roman"/>
                <w:color w:val="0070C0"/>
                <w:szCs w:val="21"/>
                <w:lang w:eastAsia="en-GB"/>
              </w:rPr>
              <w:t>In FR2: the RAN4 Rel-18 related LTM requirements are not applicable if L1 measurement of LTM candidate cell is not supported or configured.</w:t>
            </w:r>
          </w:p>
          <w:p w14:paraId="23343573" w14:textId="77777777" w:rsidR="00752A88" w:rsidRPr="00752A88" w:rsidRDefault="00752A88" w:rsidP="00450D22">
            <w:pPr>
              <w:jc w:val="both"/>
              <w:rPr>
                <w:noProof/>
                <w:lang w:eastAsia="ja-JP"/>
              </w:rPr>
            </w:pPr>
          </w:p>
        </w:tc>
      </w:tr>
    </w:tbl>
    <w:p w14:paraId="20E47AE7" w14:textId="77777777" w:rsidR="00752A88" w:rsidRDefault="00752A88" w:rsidP="00450D22">
      <w:pPr>
        <w:jc w:val="both"/>
        <w:rPr>
          <w:noProof/>
          <w:lang w:eastAsia="ja-JP"/>
        </w:rPr>
      </w:pPr>
    </w:p>
    <w:p w14:paraId="6E68D1B6" w14:textId="041BCFA2" w:rsidR="00044686" w:rsidRPr="00044686" w:rsidRDefault="00044686" w:rsidP="00044686">
      <w:pPr>
        <w:jc w:val="both"/>
        <w:rPr>
          <w:b/>
          <w:bCs/>
          <w:noProof/>
          <w:lang w:eastAsia="ja-JP"/>
        </w:rPr>
      </w:pPr>
      <w:r w:rsidRPr="00044686">
        <w:rPr>
          <w:rFonts w:hint="eastAsia"/>
          <w:b/>
          <w:bCs/>
          <w:noProof/>
          <w:lang w:eastAsia="ja-JP"/>
        </w:rPr>
        <w:t xml:space="preserve">Excerpt from </w:t>
      </w:r>
      <w:r w:rsidRPr="00044686">
        <w:rPr>
          <w:b/>
          <w:bCs/>
          <w:noProof/>
          <w:lang w:eastAsia="ja-JP"/>
        </w:rPr>
        <w:t>R2-2406227</w:t>
      </w:r>
      <w:r>
        <w:rPr>
          <w:rFonts w:hint="eastAsia"/>
          <w:b/>
          <w:bCs/>
          <w:noProof/>
          <w:lang w:eastAsia="ja-JP"/>
        </w:rPr>
        <w:t xml:space="preserve"> (RAN4 LS to RAN2)</w:t>
      </w:r>
    </w:p>
    <w:tbl>
      <w:tblPr>
        <w:tblStyle w:val="TableGrid"/>
        <w:tblW w:w="0" w:type="auto"/>
        <w:tblLook w:val="04A0" w:firstRow="1" w:lastRow="0" w:firstColumn="1" w:lastColumn="0" w:noHBand="0" w:noVBand="1"/>
      </w:tblPr>
      <w:tblGrid>
        <w:gridCol w:w="9629"/>
      </w:tblGrid>
      <w:tr w:rsidR="00044686" w14:paraId="7C8734F4" w14:textId="77777777" w:rsidTr="00044686">
        <w:tc>
          <w:tcPr>
            <w:tcW w:w="9629" w:type="dxa"/>
          </w:tcPr>
          <w:tbl>
            <w:tblPr>
              <w:tblStyle w:val="TableGrid"/>
              <w:tblW w:w="0" w:type="auto"/>
              <w:tblLook w:val="04A0" w:firstRow="1" w:lastRow="0" w:firstColumn="1" w:lastColumn="0" w:noHBand="0" w:noVBand="1"/>
            </w:tblPr>
            <w:tblGrid>
              <w:gridCol w:w="9403"/>
            </w:tblGrid>
            <w:tr w:rsidR="00044686" w:rsidRPr="00044686" w14:paraId="0CCC9234" w14:textId="77777777" w:rsidTr="00044686">
              <w:tc>
                <w:tcPr>
                  <w:tcW w:w="9403" w:type="dxa"/>
                </w:tcPr>
                <w:p w14:paraId="4EDBE835" w14:textId="77777777" w:rsidR="00044686" w:rsidRPr="00044686" w:rsidRDefault="00044686" w:rsidP="00044686">
                  <w:pPr>
                    <w:overflowPunct w:val="0"/>
                    <w:autoSpaceDE w:val="0"/>
                    <w:autoSpaceDN w:val="0"/>
                    <w:adjustRightInd w:val="0"/>
                    <w:textAlignment w:val="baseline"/>
                    <w:rPr>
                      <w:rFonts w:eastAsia="Times New Roman"/>
                      <w:b/>
                      <w:bCs/>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044686" w:rsidRPr="00044686" w14:paraId="2CF85684" w14:textId="77777777" w:rsidTr="0044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80F1F" w14:textId="77777777" w:rsidR="00044686" w:rsidRPr="00044686" w:rsidRDefault="00044686" w:rsidP="00044686">
                        <w:pPr>
                          <w:keepNext/>
                          <w:keepLines/>
                          <w:overflowPunct w:val="0"/>
                          <w:autoSpaceDE w:val="0"/>
                          <w:autoSpaceDN w:val="0"/>
                          <w:adjustRightInd w:val="0"/>
                          <w:spacing w:after="0"/>
                          <w:textAlignment w:val="baseline"/>
                          <w:rPr>
                            <w:rFonts w:ascii="Arial" w:eastAsia="MS Mincho" w:hAnsi="Arial" w:cs="Arial"/>
                            <w:color w:val="0070C0"/>
                            <w:sz w:val="18"/>
                            <w:szCs w:val="18"/>
                            <w:highlight w:val="yellow"/>
                            <w:lang w:eastAsia="ja-JP"/>
                          </w:rPr>
                        </w:pPr>
                        <w:r w:rsidRPr="00044686">
                          <w:rPr>
                            <w:rFonts w:ascii="Arial" w:eastAsia="MS Mincho" w:hAnsi="Arial" w:cs="Arial"/>
                            <w:color w:val="0070C0"/>
                            <w:sz w:val="18"/>
                            <w:szCs w:val="18"/>
                            <w:highlight w:val="yellow"/>
                            <w:lang w:eastAsia="ja-JP"/>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F83E" w14:textId="77777777" w:rsidR="00044686" w:rsidRPr="00044686" w:rsidRDefault="00044686" w:rsidP="00044686">
                        <w:pPr>
                          <w:keepNext/>
                          <w:keepLines/>
                          <w:overflowPunct w:val="0"/>
                          <w:autoSpaceDE w:val="0"/>
                          <w:autoSpaceDN w:val="0"/>
                          <w:adjustRightInd w:val="0"/>
                          <w:spacing w:after="0"/>
                          <w:textAlignment w:val="baseline"/>
                          <w:rPr>
                            <w:rFonts w:ascii="Arial" w:eastAsia="SimSun" w:hAnsi="Arial" w:cs="Arial"/>
                            <w:color w:val="0070C0"/>
                            <w:sz w:val="18"/>
                            <w:szCs w:val="18"/>
                            <w:highlight w:val="yellow"/>
                            <w:lang w:eastAsia="zh-CN"/>
                          </w:rPr>
                        </w:pPr>
                        <w:r w:rsidRPr="00044686">
                          <w:rPr>
                            <w:rFonts w:ascii="Arial" w:eastAsia="SimSun" w:hAnsi="Arial" w:cs="Arial"/>
                            <w:color w:val="0070C0"/>
                            <w:sz w:val="18"/>
                            <w:szCs w:val="18"/>
                            <w:highlight w:val="yellow"/>
                            <w:lang w:val="en-US" w:eastAsia="zh-CN"/>
                          </w:rPr>
                          <w:t xml:space="preserve">Intra-frequency </w:t>
                        </w:r>
                        <w:r w:rsidRPr="00044686">
                          <w:rPr>
                            <w:rFonts w:ascii="Arial" w:eastAsia="SimSun" w:hAnsi="Arial" w:cs="Arial"/>
                            <w:color w:val="0070C0"/>
                            <w:sz w:val="18"/>
                            <w:szCs w:val="18"/>
                            <w:highlight w:val="yellow"/>
                            <w:lang w:eastAsia="zh-CN"/>
                          </w:rPr>
                          <w:t>L1 measurement and reports for L1-L2 Triggered Mobility (LTM) procedure</w:t>
                        </w:r>
                      </w:p>
                    </w:tc>
                  </w:tr>
                  <w:tr w:rsidR="00044686" w:rsidRPr="00044686" w14:paraId="41DF682F" w14:textId="77777777" w:rsidTr="0044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BC052" w14:textId="77777777" w:rsidR="00044686" w:rsidRPr="00044686" w:rsidRDefault="00044686" w:rsidP="00044686">
                        <w:pPr>
                          <w:keepNext/>
                          <w:keepLines/>
                          <w:overflowPunct w:val="0"/>
                          <w:autoSpaceDE w:val="0"/>
                          <w:autoSpaceDN w:val="0"/>
                          <w:adjustRightInd w:val="0"/>
                          <w:spacing w:after="0"/>
                          <w:textAlignment w:val="baseline"/>
                          <w:rPr>
                            <w:rFonts w:ascii="Arial" w:eastAsia="MS Mincho" w:hAnsi="Arial" w:cs="Arial"/>
                            <w:color w:val="0070C0"/>
                            <w:sz w:val="18"/>
                            <w:szCs w:val="18"/>
                            <w:highlight w:val="yellow"/>
                            <w:lang w:eastAsia="ja-JP"/>
                          </w:rPr>
                        </w:pPr>
                        <w:r w:rsidRPr="00044686">
                          <w:rPr>
                            <w:rFonts w:ascii="Arial" w:eastAsia="MS Mincho" w:hAnsi="Arial" w:cs="Arial"/>
                            <w:color w:val="0070C0"/>
                            <w:sz w:val="18"/>
                            <w:szCs w:val="18"/>
                            <w:highlight w:val="yellow"/>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DF6BD" w14:textId="77777777" w:rsidR="00044686" w:rsidRPr="00044686" w:rsidRDefault="00044686" w:rsidP="00044686">
                        <w:pPr>
                          <w:keepNext/>
                          <w:keepLines/>
                          <w:overflowPunct w:val="0"/>
                          <w:autoSpaceDE w:val="0"/>
                          <w:autoSpaceDN w:val="0"/>
                          <w:adjustRightInd w:val="0"/>
                          <w:spacing w:after="0"/>
                          <w:textAlignment w:val="baseline"/>
                          <w:rPr>
                            <w:rFonts w:ascii="Arial" w:eastAsia="SimSun" w:hAnsi="Arial" w:cs="Arial"/>
                            <w:color w:val="0070C0"/>
                            <w:sz w:val="18"/>
                            <w:szCs w:val="18"/>
                            <w:highlight w:val="yellow"/>
                            <w:lang w:val="en-US" w:eastAsia="zh-CN"/>
                          </w:rPr>
                        </w:pPr>
                        <w:r w:rsidRPr="00044686">
                          <w:rPr>
                            <w:rFonts w:ascii="Arial" w:eastAsia="SimSun" w:hAnsi="Arial" w:cs="Arial"/>
                            <w:color w:val="0070C0"/>
                            <w:sz w:val="18"/>
                            <w:szCs w:val="18"/>
                            <w:highlight w:val="yellow"/>
                            <w:lang w:val="en-US" w:eastAsia="zh-CN"/>
                          </w:rPr>
                          <w:t>Inter-frequency L1 measurement and reports for L1-L2 Triggered Mobility (LTM) procedure</w:t>
                        </w:r>
                      </w:p>
                    </w:tc>
                  </w:tr>
                </w:tbl>
                <w:p w14:paraId="32AC9D67" w14:textId="77777777" w:rsidR="00044686" w:rsidRPr="00044686" w:rsidRDefault="00044686" w:rsidP="00044686">
                  <w:pPr>
                    <w:overflowPunct w:val="0"/>
                    <w:autoSpaceDE w:val="0"/>
                    <w:autoSpaceDN w:val="0"/>
                    <w:adjustRightInd w:val="0"/>
                    <w:textAlignment w:val="baseline"/>
                    <w:rPr>
                      <w:rFonts w:eastAsia="Times New Roman"/>
                      <w:b/>
                      <w:bCs/>
                      <w:color w:val="0070C0"/>
                      <w:lang w:eastAsia="zh-CN"/>
                    </w:rPr>
                  </w:pPr>
                </w:p>
                <w:p w14:paraId="231F5974"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b/>
                      <w:bCs/>
                      <w:color w:val="0070C0"/>
                      <w:lang w:eastAsia="zh-CN"/>
                    </w:rPr>
                    <w:t>Question 1:</w:t>
                  </w:r>
                  <w:r w:rsidRPr="00044686">
                    <w:rPr>
                      <w:rFonts w:ascii="Arial" w:eastAsia="Times New Roman" w:hAnsi="Arial" w:cs="Arial"/>
                      <w:color w:val="0070C0"/>
                      <w:lang w:eastAsia="zh-CN"/>
                    </w:rPr>
                    <w:t xml:space="preserve"> </w:t>
                  </w:r>
                  <w:r w:rsidRPr="00044686">
                    <w:rPr>
                      <w:rFonts w:ascii="Arial" w:eastAsia="Times New Roman" w:hAnsi="Arial" w:cs="Arial"/>
                      <w:color w:val="0070C0"/>
                      <w:highlight w:val="yellow"/>
                      <w:lang w:eastAsia="zh-CN"/>
                    </w:rPr>
                    <w:t>Are the above intra-frequency and inter-frequency L1 measurement and reporting features (45-1 and 45-1a) prerequisites to support intra-frequency and inter-frequency LTM, respectively?</w:t>
                  </w:r>
                </w:p>
                <w:p w14:paraId="04B7733D" w14:textId="77777777" w:rsidR="00044686" w:rsidRPr="00044686" w:rsidRDefault="00044686" w:rsidP="00044686">
                  <w:pPr>
                    <w:overflowPunct w:val="0"/>
                    <w:autoSpaceDE w:val="0"/>
                    <w:autoSpaceDN w:val="0"/>
                    <w:adjustRightInd w:val="0"/>
                    <w:textAlignment w:val="baseline"/>
                    <w:rPr>
                      <w:rFonts w:eastAsia="Times New Roman"/>
                      <w:color w:val="0070C0"/>
                      <w:lang w:eastAsia="zh-CN"/>
                    </w:rPr>
                  </w:pPr>
                  <w:r w:rsidRPr="00044686">
                    <w:rPr>
                      <w:rFonts w:ascii="Arial" w:eastAsia="Times New Roman" w:hAnsi="Arial" w:cs="Arial"/>
                      <w:b/>
                      <w:bCs/>
                      <w:color w:val="0070C0"/>
                      <w:lang w:eastAsia="zh-CN"/>
                    </w:rPr>
                    <w:t>Question 2:</w:t>
                  </w:r>
                  <w:r w:rsidRPr="00044686">
                    <w:rPr>
                      <w:rFonts w:ascii="Arial" w:eastAsia="Times New Roman" w:hAnsi="Arial" w:cs="Arial"/>
                      <w:color w:val="0070C0"/>
                      <w:lang w:eastAsia="zh-CN"/>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sidRPr="00044686">
                    <w:rPr>
                      <w:rFonts w:ascii="Arial" w:eastAsia="Times New Roman" w:hAnsi="Arial" w:cs="Arial"/>
                      <w:color w:val="0070C0"/>
                      <w:lang w:eastAsia="zh-CN"/>
                    </w:rPr>
                    <w:t>cell</w:t>
                  </w:r>
                  <w:proofErr w:type="gramEnd"/>
                  <w:r w:rsidRPr="00044686">
                    <w:rPr>
                      <w:rFonts w:ascii="Arial" w:eastAsia="Times New Roman" w:hAnsi="Arial" w:cs="Arial"/>
                      <w:color w:val="0070C0"/>
                      <w:lang w:eastAsia="zh-CN"/>
                    </w:rPr>
                    <w:t xml:space="preserve"> to be measured or something else) these capabilities are to be considered for L1 intra-frequency and inter-frequency LTM measurements?</w:t>
                  </w:r>
                </w:p>
              </w:tc>
            </w:tr>
          </w:tbl>
          <w:p w14:paraId="1F117A5B" w14:textId="77777777" w:rsidR="00044686" w:rsidRPr="00044686" w:rsidRDefault="00044686" w:rsidP="00044686">
            <w:pPr>
              <w:overflowPunct w:val="0"/>
              <w:autoSpaceDE w:val="0"/>
              <w:autoSpaceDN w:val="0"/>
              <w:adjustRightInd w:val="0"/>
              <w:spacing w:before="240"/>
              <w:textAlignment w:val="baseline"/>
              <w:rPr>
                <w:rFonts w:ascii="Arial" w:eastAsia="Times New Roman" w:hAnsi="Arial" w:cs="Arial"/>
                <w:color w:val="0070C0"/>
                <w:lang w:eastAsia="zh-CN"/>
              </w:rPr>
            </w:pPr>
            <w:r w:rsidRPr="00044686">
              <w:rPr>
                <w:rFonts w:ascii="Arial" w:eastAsia="Times New Roman" w:hAnsi="Arial" w:cs="Arial" w:hint="eastAsia"/>
                <w:color w:val="0070C0"/>
                <w:lang w:eastAsia="zh-CN"/>
              </w:rPr>
              <w:lastRenderedPageBreak/>
              <w:t>From RAN4</w:t>
            </w:r>
            <w:r w:rsidRPr="00044686">
              <w:rPr>
                <w:rFonts w:ascii="Arial" w:eastAsia="Times New Roman" w:hAnsi="Arial" w:cs="Arial"/>
                <w:color w:val="0070C0"/>
                <w:lang w:eastAsia="zh-CN"/>
              </w:rPr>
              <w:t>’</w:t>
            </w:r>
            <w:r w:rsidRPr="00044686">
              <w:rPr>
                <w:rFonts w:ascii="Arial" w:eastAsia="Times New Roman" w:hAnsi="Arial" w:cs="Arial" w:hint="eastAsia"/>
                <w:color w:val="0070C0"/>
                <w:lang w:eastAsia="zh-CN"/>
              </w:rPr>
              <w:t xml:space="preserve">s perspective, </w:t>
            </w:r>
            <w:r w:rsidRPr="00044686">
              <w:rPr>
                <w:rFonts w:ascii="Arial" w:eastAsia="Times New Roman" w:hAnsi="Arial" w:cs="Arial"/>
                <w:color w:val="0070C0"/>
                <w:lang w:eastAsia="zh-CN"/>
              </w:rPr>
              <w:t>the following consensus</w:t>
            </w:r>
            <w:r w:rsidRPr="00044686">
              <w:rPr>
                <w:rFonts w:ascii="Arial" w:eastAsia="Times New Roman" w:hAnsi="Arial" w:cs="Arial" w:hint="eastAsia"/>
                <w:color w:val="0070C0"/>
                <w:lang w:eastAsia="zh-CN"/>
              </w:rPr>
              <w:t xml:space="preserve"> was</w:t>
            </w:r>
            <w:r w:rsidRPr="00044686">
              <w:rPr>
                <w:rFonts w:ascii="Arial" w:eastAsia="Times New Roman" w:hAnsi="Arial" w:cs="Arial"/>
                <w:color w:val="0070C0"/>
                <w:lang w:eastAsia="zh-CN"/>
              </w:rPr>
              <w:t xml:space="preserve"> reached:</w:t>
            </w:r>
          </w:p>
          <w:p w14:paraId="7C8FC800"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b/>
                <w:bCs/>
                <w:color w:val="0070C0"/>
                <w:u w:val="single"/>
                <w:lang w:eastAsia="zh-CN"/>
              </w:rPr>
              <w:t>Reply to the Question 1</w:t>
            </w:r>
            <w:r w:rsidRPr="00044686">
              <w:rPr>
                <w:rFonts w:ascii="Arial" w:eastAsia="Times New Roman" w:hAnsi="Arial" w:cs="Arial"/>
                <w:b/>
                <w:bCs/>
                <w:color w:val="0070C0"/>
                <w:lang w:eastAsia="zh-CN"/>
              </w:rPr>
              <w:t>:</w:t>
            </w:r>
          </w:p>
          <w:p w14:paraId="32F8AB20"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hint="eastAsia"/>
                <w:color w:val="0070C0"/>
                <w:highlight w:val="yellow"/>
                <w:lang w:eastAsia="zh-CN"/>
              </w:rPr>
              <w:t>For</w:t>
            </w:r>
            <w:r w:rsidRPr="00044686">
              <w:rPr>
                <w:rFonts w:ascii="Arial" w:eastAsia="Times New Roman" w:hAnsi="Arial" w:cs="Arial"/>
                <w:color w:val="0070C0"/>
                <w:highlight w:val="yellow"/>
                <w:lang w:eastAsia="zh-CN"/>
              </w:rPr>
              <w:t xml:space="preserve"> whether intra-frequency and inter-frequency L1 measurements and reporting are prerequisites to support intra-frequency and inter-frequency LTM</w:t>
            </w:r>
            <w:r w:rsidRPr="00044686">
              <w:rPr>
                <w:rFonts w:ascii="Arial" w:eastAsia="Times New Roman" w:hAnsi="Arial" w:cs="Arial"/>
                <w:color w:val="0070C0"/>
                <w:lang w:eastAsia="zh-CN"/>
              </w:rPr>
              <w:t>, RAN4 analysed RAN4 requirements and achieved following agreements</w:t>
            </w:r>
          </w:p>
          <w:p w14:paraId="08C9BFAC" w14:textId="77777777" w:rsidR="00044686" w:rsidRPr="00044686" w:rsidRDefault="00044686" w:rsidP="000566B9">
            <w:pPr>
              <w:numPr>
                <w:ilvl w:val="0"/>
                <w:numId w:val="13"/>
              </w:numPr>
              <w:overflowPunct w:val="0"/>
              <w:autoSpaceDE w:val="0"/>
              <w:autoSpaceDN w:val="0"/>
              <w:adjustRightInd w:val="0"/>
              <w:contextualSpacing/>
              <w:textAlignment w:val="baseline"/>
              <w:rPr>
                <w:rFonts w:eastAsia="Times New Roman"/>
                <w:color w:val="0070C0"/>
                <w:highlight w:val="yellow"/>
                <w:lang w:eastAsia="zh-CN"/>
              </w:rPr>
            </w:pPr>
            <w:r w:rsidRPr="00044686">
              <w:rPr>
                <w:rFonts w:ascii="Arial" w:eastAsia="Times New Roman" w:hAnsi="Arial" w:cs="Arial"/>
                <w:color w:val="0070C0"/>
                <w:highlight w:val="yellow"/>
                <w:lang w:eastAsia="zh-CN"/>
              </w:rPr>
              <w:t xml:space="preserve">For FR1, RAN4 Rel-18 related LTM requirements are applicable </w:t>
            </w:r>
            <w:r w:rsidRPr="00044686">
              <w:rPr>
                <w:rFonts w:ascii="Arial" w:eastAsia="Times New Roman" w:hAnsi="Arial" w:cs="Arial" w:hint="eastAsia"/>
                <w:color w:val="0070C0"/>
                <w:highlight w:val="yellow"/>
                <w:lang w:eastAsia="zh-CN"/>
              </w:rPr>
              <w:t>to</w:t>
            </w:r>
            <w:r w:rsidRPr="00044686">
              <w:rPr>
                <w:rFonts w:ascii="Arial" w:eastAsia="Times New Roman" w:hAnsi="Arial" w:cs="Arial"/>
                <w:color w:val="0070C0"/>
                <w:highlight w:val="yellow"/>
                <w:lang w:eastAsia="zh-CN"/>
              </w:rPr>
              <w:t xml:space="preserve"> the case without L1 measurement and report</w:t>
            </w:r>
            <w:r w:rsidRPr="00044686">
              <w:rPr>
                <w:rFonts w:ascii="Arial" w:eastAsia="Times New Roman" w:hAnsi="Arial" w:cs="Arial" w:hint="eastAsia"/>
                <w:color w:val="0070C0"/>
                <w:highlight w:val="yellow"/>
                <w:lang w:eastAsia="zh-CN"/>
              </w:rPr>
              <w:t>ing</w:t>
            </w:r>
            <w:r w:rsidRPr="00044686">
              <w:rPr>
                <w:rFonts w:ascii="Arial" w:eastAsia="Times New Roman" w:hAnsi="Arial" w:cs="Arial"/>
                <w:color w:val="0070C0"/>
                <w:highlight w:val="yellow"/>
                <w:lang w:eastAsia="zh-CN"/>
              </w:rPr>
              <w:t xml:space="preserve"> of LTM candidate cell</w:t>
            </w:r>
            <w:r w:rsidRPr="00044686">
              <w:rPr>
                <w:rFonts w:ascii="Arial" w:eastAsia="Times New Roman" w:hAnsi="Arial" w:cs="Arial" w:hint="eastAsia"/>
                <w:color w:val="0070C0"/>
                <w:highlight w:val="yellow"/>
                <w:lang w:eastAsia="zh-CN"/>
              </w:rPr>
              <w:t>s</w:t>
            </w:r>
            <w:r w:rsidRPr="00044686">
              <w:rPr>
                <w:rFonts w:ascii="Arial" w:eastAsia="Times New Roman" w:hAnsi="Arial" w:cs="Arial"/>
                <w:color w:val="0070C0"/>
                <w:highlight w:val="yellow"/>
                <w:lang w:eastAsia="zh-CN"/>
              </w:rPr>
              <w:t>.</w:t>
            </w:r>
          </w:p>
          <w:p w14:paraId="29675727" w14:textId="30C3DDD5" w:rsidR="00044686" w:rsidRDefault="00044686" w:rsidP="000566B9">
            <w:pPr>
              <w:numPr>
                <w:ilvl w:val="0"/>
                <w:numId w:val="13"/>
              </w:numPr>
              <w:overflowPunct w:val="0"/>
              <w:autoSpaceDE w:val="0"/>
              <w:autoSpaceDN w:val="0"/>
              <w:adjustRightInd w:val="0"/>
              <w:contextualSpacing/>
              <w:jc w:val="both"/>
              <w:textAlignment w:val="baseline"/>
              <w:rPr>
                <w:noProof/>
                <w:lang w:eastAsia="ja-JP"/>
              </w:rPr>
            </w:pPr>
            <w:r w:rsidRPr="00044686">
              <w:rPr>
                <w:rFonts w:ascii="Arial" w:eastAsia="Times New Roman" w:hAnsi="Arial" w:cs="Arial"/>
                <w:color w:val="0070C0"/>
                <w:lang w:eastAsia="zh-CN"/>
              </w:rPr>
              <w:t>For FR2, RAN4 Rel-18 related LTM requirements are not applicable if L1 measurements for LTM candidate cells are not supported by the UE, or not configured by the network.</w:t>
            </w:r>
          </w:p>
        </w:tc>
      </w:tr>
    </w:tbl>
    <w:p w14:paraId="0BE187AC" w14:textId="77777777" w:rsidR="00752A88" w:rsidRDefault="00752A88" w:rsidP="00450D22">
      <w:pPr>
        <w:jc w:val="both"/>
        <w:rPr>
          <w:noProof/>
          <w:lang w:eastAsia="ja-JP"/>
        </w:rPr>
      </w:pPr>
    </w:p>
    <w:p w14:paraId="23AFFD2A" w14:textId="2950EB6F" w:rsidR="00044686" w:rsidRPr="00044686" w:rsidRDefault="00044686" w:rsidP="00044686">
      <w:pPr>
        <w:jc w:val="both"/>
        <w:rPr>
          <w:b/>
          <w:bCs/>
          <w:noProof/>
          <w:lang w:eastAsia="ja-JP"/>
        </w:rPr>
      </w:pPr>
      <w:r w:rsidRPr="00044686">
        <w:rPr>
          <w:rFonts w:hint="eastAsia"/>
          <w:b/>
          <w:bCs/>
          <w:noProof/>
          <w:lang w:eastAsia="ja-JP"/>
        </w:rPr>
        <w:t xml:space="preserve">Excerpt from </w:t>
      </w:r>
      <w:r w:rsidRPr="00044686">
        <w:rPr>
          <w:b/>
          <w:bCs/>
          <w:noProof/>
          <w:lang w:eastAsia="ja-JP"/>
        </w:rPr>
        <w:t>R2-240</w:t>
      </w:r>
      <w:r>
        <w:rPr>
          <w:rFonts w:hint="eastAsia"/>
          <w:b/>
          <w:bCs/>
          <w:noProof/>
          <w:lang w:eastAsia="ja-JP"/>
        </w:rPr>
        <w:t xml:space="preserve">7606 (RAN2 LS to </w:t>
      </w:r>
      <w:r w:rsidRPr="00044686">
        <w:rPr>
          <w:rFonts w:hint="eastAsia"/>
          <w:b/>
          <w:bCs/>
          <w:noProof/>
          <w:color w:val="FF0000"/>
          <w:lang w:eastAsia="ja-JP"/>
        </w:rPr>
        <w:t>RAN3</w:t>
      </w:r>
      <w:r>
        <w:rPr>
          <w:rFonts w:hint="eastAsia"/>
          <w:b/>
          <w:bCs/>
          <w:noProof/>
          <w:lang w:eastAsia="ja-JP"/>
        </w:rPr>
        <w:t>)</w:t>
      </w:r>
    </w:p>
    <w:tbl>
      <w:tblPr>
        <w:tblStyle w:val="TableGrid"/>
        <w:tblW w:w="0" w:type="auto"/>
        <w:tblLook w:val="04A0" w:firstRow="1" w:lastRow="0" w:firstColumn="1" w:lastColumn="0" w:noHBand="0" w:noVBand="1"/>
      </w:tblPr>
      <w:tblGrid>
        <w:gridCol w:w="9629"/>
      </w:tblGrid>
      <w:tr w:rsidR="00044686" w14:paraId="4872F75F" w14:textId="77777777" w:rsidTr="00044686">
        <w:tc>
          <w:tcPr>
            <w:tcW w:w="9629" w:type="dxa"/>
          </w:tcPr>
          <w:p w14:paraId="579C2B20" w14:textId="77777777" w:rsidR="00044686" w:rsidRPr="00044686" w:rsidRDefault="00044686" w:rsidP="00044686">
            <w:pPr>
              <w:rPr>
                <w:color w:val="0070C0"/>
              </w:rPr>
            </w:pPr>
            <w:r w:rsidRPr="00044686">
              <w:rPr>
                <w:color w:val="0070C0"/>
              </w:rPr>
              <w:t xml:space="preserve">In the late phase of Rel-18 LTM definition, </w:t>
            </w:r>
            <w:r w:rsidRPr="00044686">
              <w:rPr>
                <w:color w:val="0070C0"/>
                <w:highlight w:val="yellow"/>
              </w:rPr>
              <w:t>it was decided, that LTM can be triggered based on Layer 3 measurements by the UE. Consequently, Layer 3 measurements are delivered via RRC to the CU and the CU needs to request the DU to send MAC CE to trigger LTM execution.</w:t>
            </w:r>
          </w:p>
          <w:p w14:paraId="1D2F3F12" w14:textId="77777777" w:rsidR="00044686" w:rsidRPr="00044686" w:rsidRDefault="00044686" w:rsidP="00044686">
            <w:pPr>
              <w:pStyle w:val="CRCoverPage"/>
              <w:rPr>
                <w:rFonts w:ascii="Times New Roman" w:eastAsiaTheme="minorEastAsia" w:hAnsi="Times New Roman"/>
                <w:color w:val="0070C0"/>
              </w:rPr>
            </w:pPr>
            <w:r w:rsidRPr="00044686">
              <w:rPr>
                <w:rFonts w:ascii="Times New Roman" w:eastAsiaTheme="minorEastAsia" w:hAnsi="Times New Roman"/>
                <w:color w:val="0070C0"/>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38936437" w14:textId="77777777" w:rsidR="00044686" w:rsidRPr="00044686" w:rsidRDefault="00044686" w:rsidP="00044686">
            <w:pPr>
              <w:spacing w:after="120"/>
              <w:rPr>
                <w:b/>
                <w:bCs/>
                <w:color w:val="0070C0"/>
              </w:rPr>
            </w:pPr>
            <w:r w:rsidRPr="00044686">
              <w:rPr>
                <w:b/>
                <w:bCs/>
                <w:color w:val="0070C0"/>
              </w:rPr>
              <w:t>2. Actions:</w:t>
            </w:r>
          </w:p>
          <w:p w14:paraId="50C8F52F" w14:textId="0C92C5CC" w:rsidR="00044686" w:rsidRDefault="00044686" w:rsidP="00044686">
            <w:pPr>
              <w:spacing w:after="60"/>
              <w:rPr>
                <w:noProof/>
                <w:lang w:eastAsia="ja-JP"/>
              </w:rPr>
            </w:pPr>
            <w:r w:rsidRPr="00044686">
              <w:rPr>
                <w:color w:val="0070C0"/>
                <w:highlight w:val="yellow"/>
              </w:rPr>
              <w:t xml:space="preserve">RAN2 kindly asks RAN3 to introduce F1 support for the case where the CU needs to request the DU to send MAC CE to trigger LTM execution based on </w:t>
            </w:r>
            <w:proofErr w:type="gramStart"/>
            <w:r w:rsidRPr="00044686">
              <w:rPr>
                <w:color w:val="0070C0"/>
                <w:highlight w:val="yellow"/>
              </w:rPr>
              <w:t>UE  Layer</w:t>
            </w:r>
            <w:proofErr w:type="gramEnd"/>
            <w:r w:rsidRPr="00044686">
              <w:rPr>
                <w:color w:val="0070C0"/>
                <w:highlight w:val="yellow"/>
              </w:rPr>
              <w:t xml:space="preserve"> 3 measurements.</w:t>
            </w:r>
          </w:p>
        </w:tc>
      </w:tr>
    </w:tbl>
    <w:p w14:paraId="54CED13F" w14:textId="77777777" w:rsidR="00752A88" w:rsidRDefault="00752A88" w:rsidP="00450D22">
      <w:pPr>
        <w:jc w:val="both"/>
        <w:rPr>
          <w:noProof/>
          <w:lang w:eastAsia="ja-JP"/>
        </w:rPr>
      </w:pPr>
    </w:p>
    <w:p w14:paraId="67F5FA84" w14:textId="77777777" w:rsidR="00044686" w:rsidRDefault="00044686" w:rsidP="00044686"/>
    <w:p w14:paraId="62989702" w14:textId="7A846669" w:rsidR="00044686" w:rsidRDefault="00044686" w:rsidP="00044686">
      <w:pPr>
        <w:pStyle w:val="Heading1"/>
        <w:tabs>
          <w:tab w:val="left" w:pos="2410"/>
        </w:tabs>
      </w:pPr>
      <w:r>
        <w:rPr>
          <w:rFonts w:hint="eastAsia"/>
          <w:lang w:eastAsia="ja-JP"/>
        </w:rPr>
        <w:t>3</w:t>
      </w:r>
      <w:r w:rsidRPr="00B704B9">
        <w:tab/>
      </w:r>
      <w:r>
        <w:rPr>
          <w:rFonts w:hint="eastAsia"/>
          <w:lang w:eastAsia="ja-JP"/>
        </w:rPr>
        <w:t>F1AP Implications</w:t>
      </w:r>
    </w:p>
    <w:p w14:paraId="7257E299" w14:textId="12438726" w:rsidR="00044686" w:rsidRDefault="00044686" w:rsidP="00044686">
      <w:pPr>
        <w:jc w:val="both"/>
        <w:rPr>
          <w:noProof/>
          <w:lang w:eastAsia="ja-JP"/>
        </w:rPr>
      </w:pPr>
      <w:r>
        <w:rPr>
          <w:rFonts w:hint="eastAsia"/>
          <w:noProof/>
          <w:lang w:eastAsia="ja-JP"/>
        </w:rPr>
        <w:t xml:space="preserve">As discussed in the LS from RAN2 to RAN3, in case of disaggregated gNB architecture, the gNB-DU is unaware of L3 measurements. Therefore, in </w:t>
      </w:r>
      <w:r>
        <w:rPr>
          <w:noProof/>
          <w:lang w:eastAsia="ja-JP"/>
        </w:rPr>
        <w:t>absence</w:t>
      </w:r>
      <w:r>
        <w:rPr>
          <w:rFonts w:hint="eastAsia"/>
          <w:noProof/>
          <w:lang w:eastAsia="ja-JP"/>
        </w:rPr>
        <w:t xml:space="preserve"> of L1 measurements from the UE, there are no means for the gNB-DU to trigger LTM to fulfil lthe requirements defined by RAN4. Therefore, signaling over F1AP is needed. We see impact on two aspects:</w:t>
      </w:r>
    </w:p>
    <w:p w14:paraId="51CA094B" w14:textId="19B8C7F4" w:rsidR="00044686" w:rsidRPr="002B791C" w:rsidRDefault="00044686" w:rsidP="00044686">
      <w:pPr>
        <w:jc w:val="both"/>
        <w:rPr>
          <w:b/>
          <w:bCs/>
          <w:noProof/>
          <w:u w:val="single"/>
          <w:lang w:eastAsia="ja-JP"/>
        </w:rPr>
      </w:pPr>
      <w:r w:rsidRPr="002B791C">
        <w:rPr>
          <w:rFonts w:hint="eastAsia"/>
          <w:b/>
          <w:bCs/>
          <w:noProof/>
          <w:u w:val="single"/>
          <w:lang w:eastAsia="ja-JP"/>
        </w:rPr>
        <w:t>L3 based triggered LTM cell ch</w:t>
      </w:r>
      <w:r w:rsidR="00A018A0">
        <w:rPr>
          <w:rFonts w:hint="eastAsia"/>
          <w:b/>
          <w:bCs/>
          <w:noProof/>
          <w:u w:val="single"/>
          <w:lang w:eastAsia="ja-JP"/>
        </w:rPr>
        <w:t>a</w:t>
      </w:r>
      <w:r w:rsidRPr="002B791C">
        <w:rPr>
          <w:rFonts w:hint="eastAsia"/>
          <w:b/>
          <w:bCs/>
          <w:noProof/>
          <w:u w:val="single"/>
          <w:lang w:eastAsia="ja-JP"/>
        </w:rPr>
        <w:t>nge</w:t>
      </w:r>
    </w:p>
    <w:p w14:paraId="3A184DDD" w14:textId="77777777" w:rsidR="002B791C" w:rsidRDefault="002B791C" w:rsidP="00044686">
      <w:pPr>
        <w:jc w:val="both"/>
        <w:rPr>
          <w:noProof/>
          <w:lang w:eastAsia="ja-JP"/>
        </w:rPr>
      </w:pPr>
      <w:r>
        <w:rPr>
          <w:rFonts w:hint="eastAsia"/>
          <w:noProof/>
          <w:lang w:eastAsia="ja-JP"/>
        </w:rPr>
        <w:t xml:space="preserve">The gNB-DU requires a command, or at minimum assistance information from the gNB-CU over F1AP in order to trigger LTM in absence of L1 measurements from the UE. </w:t>
      </w:r>
    </w:p>
    <w:p w14:paraId="46BF58C8" w14:textId="02D48D85" w:rsidR="00A018A0" w:rsidRDefault="002B791C" w:rsidP="00DC4975">
      <w:pPr>
        <w:ind w:left="284"/>
        <w:jc w:val="both"/>
        <w:rPr>
          <w:noProof/>
          <w:lang w:eastAsia="ja-JP"/>
        </w:rPr>
      </w:pPr>
      <w:r w:rsidRPr="00A018A0">
        <w:rPr>
          <w:rFonts w:hint="eastAsia"/>
          <w:b/>
          <w:bCs/>
          <w:noProof/>
          <w:lang w:eastAsia="ja-JP"/>
        </w:rPr>
        <w:t>Approach 1:</w:t>
      </w:r>
      <w:r>
        <w:rPr>
          <w:rFonts w:hint="eastAsia"/>
          <w:noProof/>
          <w:lang w:eastAsia="ja-JP"/>
        </w:rPr>
        <w:t xml:space="preserve"> The gNB-CU is is in charge of ordering the gNB-DU to issue the LTM command to the UE to a given cell without further evaluation at the gNB-DU. </w:t>
      </w:r>
      <w:r w:rsidR="00A018A0">
        <w:rPr>
          <w:rFonts w:hint="eastAsia"/>
          <w:noProof/>
          <w:lang w:eastAsia="ja-JP"/>
        </w:rPr>
        <w:t>In this approach a single Cell ID is indicated.</w:t>
      </w:r>
    </w:p>
    <w:p w14:paraId="5C0AF09E" w14:textId="44CFD93C" w:rsidR="00A018A0" w:rsidRPr="00A018A0" w:rsidRDefault="00A018A0" w:rsidP="000566B9">
      <w:pPr>
        <w:pStyle w:val="ListParagraph"/>
        <w:numPr>
          <w:ilvl w:val="1"/>
          <w:numId w:val="12"/>
        </w:numPr>
        <w:rPr>
          <w:rFonts w:ascii="Times New Roman" w:eastAsia="Yu Mincho" w:hAnsi="Times New Roman"/>
          <w:noProof/>
          <w:lang w:val="en-GB" w:eastAsia="ja-JP"/>
        </w:rPr>
      </w:pPr>
      <w:r>
        <w:rPr>
          <w:rFonts w:ascii="Times New Roman" w:eastAsia="Yu Mincho" w:hAnsi="Times New Roman" w:hint="eastAsia"/>
          <w:noProof/>
          <w:lang w:val="en-GB" w:eastAsia="ja-JP"/>
        </w:rPr>
        <w:t>The gNB-CU would at</w:t>
      </w:r>
      <w:r w:rsidRPr="00A018A0">
        <w:rPr>
          <w:rFonts w:ascii="Times New Roman" w:eastAsia="Yu Mincho" w:hAnsi="Times New Roman"/>
          <w:noProof/>
          <w:lang w:val="en-GB" w:eastAsia="ja-JP"/>
        </w:rPr>
        <w:t xml:space="preserve"> minimum, </w:t>
      </w:r>
      <w:r>
        <w:rPr>
          <w:rFonts w:ascii="Times New Roman" w:eastAsia="Yu Mincho" w:hAnsi="Times New Roman" w:hint="eastAsia"/>
          <w:noProof/>
          <w:lang w:val="en-GB" w:eastAsia="ja-JP"/>
        </w:rPr>
        <w:t xml:space="preserve">signal the Cell ID </w:t>
      </w:r>
      <w:r w:rsidRPr="00A018A0">
        <w:rPr>
          <w:rFonts w:ascii="Times New Roman" w:eastAsia="Yu Mincho" w:hAnsi="Times New Roman"/>
          <w:noProof/>
          <w:lang w:val="en-GB" w:eastAsia="ja-JP"/>
        </w:rPr>
        <w:t xml:space="preserve">to which mobility is to take place. Likewise, given that in RAN1 the TCI State ID is mandatory in the MAC CE command, the gNB-DU will need to indicate one </w:t>
      </w:r>
      <w:r w:rsidRPr="00A018A0">
        <w:rPr>
          <w:rFonts w:ascii="Times New Roman" w:eastAsia="Yu Mincho" w:hAnsi="Times New Roman"/>
          <w:noProof/>
          <w:lang w:val="en-GB" w:eastAsia="ja-JP"/>
        </w:rPr>
        <w:lastRenderedPageBreak/>
        <w:t>to the UE</w:t>
      </w:r>
      <w:r>
        <w:rPr>
          <w:rFonts w:ascii="Times New Roman" w:eastAsia="Yu Mincho" w:hAnsi="Times New Roman" w:hint="eastAsia"/>
          <w:noProof/>
          <w:lang w:val="en-GB" w:eastAsia="ja-JP"/>
        </w:rPr>
        <w:t xml:space="preserve">. This requirement is applicable regardless of whether LTM is RACH-less or RACH-based. Hence, the gNB-CU should also indicate an appropriate beam </w:t>
      </w:r>
      <w:r w:rsidR="0031371D">
        <w:rPr>
          <w:rFonts w:ascii="Times New Roman" w:eastAsia="Yu Mincho" w:hAnsi="Times New Roman"/>
          <w:noProof/>
          <w:lang w:val="en-GB" w:eastAsia="ja-JP"/>
        </w:rPr>
        <w:t xml:space="preserve">(TCI state(s)) or assistance information like SSB index which can used to derive TCI state(s) </w:t>
      </w:r>
      <w:r>
        <w:rPr>
          <w:rFonts w:ascii="Times New Roman" w:eastAsia="Yu Mincho" w:hAnsi="Times New Roman" w:hint="eastAsia"/>
          <w:noProof/>
          <w:lang w:val="en-GB" w:eastAsia="ja-JP"/>
        </w:rPr>
        <w:t xml:space="preserve">to the gNB-DU. </w:t>
      </w:r>
    </w:p>
    <w:p w14:paraId="74823B96" w14:textId="77777777" w:rsidR="00A018A0" w:rsidRDefault="00A018A0" w:rsidP="002B791C">
      <w:pPr>
        <w:jc w:val="both"/>
        <w:rPr>
          <w:noProof/>
          <w:lang w:eastAsia="ja-JP"/>
        </w:rPr>
      </w:pPr>
    </w:p>
    <w:p w14:paraId="6FDFCF90" w14:textId="1721D5BA" w:rsidR="00A018A0" w:rsidRDefault="00A018A0" w:rsidP="00DC4975">
      <w:pPr>
        <w:ind w:left="284"/>
        <w:jc w:val="both"/>
        <w:rPr>
          <w:noProof/>
          <w:lang w:eastAsia="ja-JP"/>
        </w:rPr>
      </w:pPr>
      <w:r w:rsidRPr="00A018A0">
        <w:rPr>
          <w:rFonts w:hint="eastAsia"/>
          <w:b/>
          <w:bCs/>
          <w:noProof/>
          <w:lang w:eastAsia="ja-JP"/>
        </w:rPr>
        <w:t>Approach 2:</w:t>
      </w:r>
      <w:r>
        <w:rPr>
          <w:rFonts w:hint="eastAsia"/>
          <w:noProof/>
          <w:lang w:eastAsia="ja-JP"/>
        </w:rPr>
        <w:t xml:space="preserve"> The </w:t>
      </w:r>
      <w:r w:rsidR="002B791C">
        <w:rPr>
          <w:rFonts w:hint="eastAsia"/>
          <w:noProof/>
          <w:lang w:eastAsia="ja-JP"/>
        </w:rPr>
        <w:t>gNB-CU provide</w:t>
      </w:r>
      <w:r>
        <w:rPr>
          <w:rFonts w:hint="eastAsia"/>
          <w:noProof/>
          <w:lang w:eastAsia="ja-JP"/>
        </w:rPr>
        <w:t>s</w:t>
      </w:r>
      <w:r w:rsidR="002B791C">
        <w:rPr>
          <w:rFonts w:hint="eastAsia"/>
          <w:noProof/>
          <w:lang w:eastAsia="ja-JP"/>
        </w:rPr>
        <w:t xml:space="preserve"> assi</w:t>
      </w:r>
      <w:r>
        <w:rPr>
          <w:rFonts w:hint="eastAsia"/>
          <w:noProof/>
          <w:lang w:eastAsia="ja-JP"/>
        </w:rPr>
        <w:t>s</w:t>
      </w:r>
      <w:r w:rsidR="002B791C">
        <w:rPr>
          <w:rFonts w:hint="eastAsia"/>
          <w:noProof/>
          <w:lang w:eastAsia="ja-JP"/>
        </w:rPr>
        <w:t>t</w:t>
      </w:r>
      <w:r>
        <w:rPr>
          <w:rFonts w:hint="eastAsia"/>
          <w:noProof/>
          <w:lang w:eastAsia="ja-JP"/>
        </w:rPr>
        <w:t>a</w:t>
      </w:r>
      <w:r w:rsidR="002B791C">
        <w:rPr>
          <w:rFonts w:hint="eastAsia"/>
          <w:noProof/>
          <w:lang w:eastAsia="ja-JP"/>
        </w:rPr>
        <w:t xml:space="preserve">nce information to the gNB-DU, which it </w:t>
      </w:r>
      <w:r>
        <w:rPr>
          <w:rFonts w:hint="eastAsia"/>
          <w:noProof/>
          <w:lang w:eastAsia="ja-JP"/>
        </w:rPr>
        <w:t>takes</w:t>
      </w:r>
      <w:r w:rsidR="002B791C">
        <w:rPr>
          <w:rFonts w:hint="eastAsia"/>
          <w:noProof/>
          <w:lang w:eastAsia="ja-JP"/>
        </w:rPr>
        <w:t xml:space="preserve"> into consideration and ultimately determine the mobility.</w:t>
      </w:r>
      <w:r>
        <w:rPr>
          <w:rFonts w:hint="eastAsia"/>
          <w:noProof/>
          <w:lang w:eastAsia="ja-JP"/>
        </w:rPr>
        <w:t xml:space="preserve"> In this approach, multiple Cell IDs may be indicated with further information, allowing for the gNB-DU flexibility to chose the most appropriate cell. </w:t>
      </w:r>
      <w:r w:rsidR="00DC4975">
        <w:rPr>
          <w:rFonts w:hint="eastAsia"/>
          <w:noProof/>
          <w:lang w:eastAsia="ja-JP"/>
        </w:rPr>
        <w:t>Further, this information could also complement cases where L1 measurements exist.</w:t>
      </w:r>
    </w:p>
    <w:p w14:paraId="35C01A5B" w14:textId="71A43BA8" w:rsidR="00A018A0" w:rsidRDefault="00A018A0" w:rsidP="000566B9">
      <w:pPr>
        <w:pStyle w:val="ListParagraph"/>
        <w:numPr>
          <w:ilvl w:val="1"/>
          <w:numId w:val="12"/>
        </w:numPr>
        <w:rPr>
          <w:rFonts w:ascii="Times New Roman" w:eastAsia="Yu Mincho" w:hAnsi="Times New Roman"/>
          <w:noProof/>
          <w:lang w:val="en-GB" w:eastAsia="ja-JP"/>
        </w:rPr>
      </w:pPr>
      <w:r>
        <w:rPr>
          <w:rFonts w:ascii="Times New Roman" w:eastAsia="Yu Mincho" w:hAnsi="Times New Roman" w:hint="eastAsia"/>
          <w:noProof/>
          <w:lang w:val="en-GB" w:eastAsia="ja-JP"/>
        </w:rPr>
        <w:t xml:space="preserve">The gNB-CU would provide one or more Cell IDs, their related beam information, as well as other information such as RSRP or RSRQ measurements. </w:t>
      </w:r>
    </w:p>
    <w:p w14:paraId="35786750" w14:textId="77777777" w:rsidR="00DC4975" w:rsidRDefault="00DC4975" w:rsidP="00DC4975">
      <w:pPr>
        <w:rPr>
          <w:noProof/>
          <w:lang w:eastAsia="ja-JP"/>
        </w:rPr>
      </w:pPr>
    </w:p>
    <w:p w14:paraId="61B1A5A9" w14:textId="0876248A" w:rsidR="00DC4975" w:rsidRPr="00DC4975" w:rsidRDefault="00DC4975" w:rsidP="00DC4975">
      <w:pPr>
        <w:rPr>
          <w:noProof/>
          <w:lang w:eastAsia="ja-JP"/>
        </w:rPr>
      </w:pPr>
      <w:r>
        <w:rPr>
          <w:rFonts w:hint="eastAsia"/>
          <w:noProof/>
          <w:lang w:eastAsia="ja-JP"/>
        </w:rPr>
        <w:t>In our view, given we are considering changes for frozen Rel-18, approach 1 seems more appropriate.</w:t>
      </w:r>
    </w:p>
    <w:p w14:paraId="21D8E3EE" w14:textId="72D539CB" w:rsidR="00DC4975" w:rsidRPr="006537C4" w:rsidRDefault="00DC4975" w:rsidP="00DC4975">
      <w:pPr>
        <w:ind w:left="568"/>
        <w:jc w:val="both"/>
        <w:rPr>
          <w:b/>
          <w:i/>
        </w:rPr>
      </w:pPr>
      <w:r w:rsidRPr="006537C4">
        <w:rPr>
          <w:b/>
          <w:i/>
        </w:rPr>
        <w:t>Proposal</w:t>
      </w:r>
      <w:r w:rsidRPr="006537C4">
        <w:rPr>
          <w:b/>
          <w:bCs/>
          <w:i/>
          <w:iCs/>
        </w:rPr>
        <w:t xml:space="preserve"> </w:t>
      </w:r>
      <w:r>
        <w:rPr>
          <w:rFonts w:hint="eastAsia"/>
          <w:b/>
          <w:bCs/>
          <w:i/>
          <w:iCs/>
          <w:lang w:eastAsia="ja-JP"/>
        </w:rPr>
        <w:t>1</w:t>
      </w:r>
      <w:r w:rsidRPr="006537C4">
        <w:rPr>
          <w:b/>
          <w:bCs/>
          <w:i/>
          <w:iCs/>
        </w:rPr>
        <w:t xml:space="preserve">: </w:t>
      </w:r>
      <w:r>
        <w:rPr>
          <w:rFonts w:hint="eastAsia"/>
          <w:b/>
          <w:bCs/>
          <w:i/>
          <w:iCs/>
          <w:lang w:eastAsia="ja-JP"/>
        </w:rPr>
        <w:t xml:space="preserve">The gNB-CU indicates over F1 the Cell ID and target </w:t>
      </w:r>
      <w:r w:rsidR="0031371D">
        <w:rPr>
          <w:b/>
          <w:bCs/>
          <w:i/>
          <w:iCs/>
          <w:lang w:eastAsia="ja-JP"/>
        </w:rPr>
        <w:t>TCI State(s) or SSB index</w:t>
      </w:r>
      <w:r w:rsidR="0031371D">
        <w:rPr>
          <w:rFonts w:hint="eastAsia"/>
          <w:b/>
          <w:bCs/>
          <w:i/>
          <w:iCs/>
          <w:lang w:eastAsia="ja-JP"/>
        </w:rPr>
        <w:t xml:space="preserve"> </w:t>
      </w:r>
      <w:r>
        <w:rPr>
          <w:rFonts w:hint="eastAsia"/>
          <w:b/>
          <w:bCs/>
          <w:i/>
          <w:iCs/>
          <w:lang w:eastAsia="ja-JP"/>
        </w:rPr>
        <w:t>for LTM cell change to the gNB-DU.</w:t>
      </w:r>
      <w:r w:rsidRPr="0010597B">
        <w:rPr>
          <w:b/>
          <w:i/>
        </w:rPr>
        <w:t xml:space="preserve"> </w:t>
      </w:r>
    </w:p>
    <w:p w14:paraId="62C7B0DC" w14:textId="77777777" w:rsidR="00DC4975" w:rsidRDefault="00DC4975" w:rsidP="00044686">
      <w:pPr>
        <w:jc w:val="both"/>
        <w:rPr>
          <w:noProof/>
          <w:lang w:eastAsia="ja-JP"/>
        </w:rPr>
      </w:pPr>
    </w:p>
    <w:p w14:paraId="0E656F2B" w14:textId="73AB56F6" w:rsidR="00DC4975" w:rsidRPr="002B791C" w:rsidRDefault="00DC4975" w:rsidP="00DC4975">
      <w:pPr>
        <w:jc w:val="both"/>
        <w:rPr>
          <w:b/>
          <w:bCs/>
          <w:noProof/>
          <w:u w:val="single"/>
          <w:lang w:eastAsia="ja-JP"/>
        </w:rPr>
      </w:pPr>
      <w:r w:rsidRPr="002B791C">
        <w:rPr>
          <w:rFonts w:hint="eastAsia"/>
          <w:b/>
          <w:bCs/>
          <w:noProof/>
          <w:u w:val="single"/>
          <w:lang w:eastAsia="ja-JP"/>
        </w:rPr>
        <w:t xml:space="preserve">L3 based </w:t>
      </w:r>
      <w:r>
        <w:rPr>
          <w:rFonts w:hint="eastAsia"/>
          <w:b/>
          <w:bCs/>
          <w:noProof/>
          <w:u w:val="single"/>
          <w:lang w:eastAsia="ja-JP"/>
        </w:rPr>
        <w:t xml:space="preserve">early </w:t>
      </w:r>
      <w:r w:rsidR="0031371D">
        <w:rPr>
          <w:b/>
          <w:bCs/>
          <w:noProof/>
          <w:u w:val="single"/>
          <w:lang w:eastAsia="ja-JP"/>
        </w:rPr>
        <w:t xml:space="preserve">RACH-based </w:t>
      </w:r>
      <w:r>
        <w:rPr>
          <w:rFonts w:hint="eastAsia"/>
          <w:b/>
          <w:bCs/>
          <w:noProof/>
          <w:u w:val="single"/>
          <w:lang w:eastAsia="ja-JP"/>
        </w:rPr>
        <w:t>TA acquisition</w:t>
      </w:r>
    </w:p>
    <w:p w14:paraId="0346A982" w14:textId="54F949FE" w:rsidR="00DC4975" w:rsidRDefault="00DC4975" w:rsidP="00044686">
      <w:pPr>
        <w:jc w:val="both"/>
        <w:rPr>
          <w:noProof/>
          <w:lang w:eastAsia="ja-JP"/>
        </w:rPr>
      </w:pPr>
      <w:r>
        <w:rPr>
          <w:rFonts w:hint="eastAsia"/>
          <w:noProof/>
          <w:lang w:eastAsia="ja-JP"/>
        </w:rPr>
        <w:t>In the RAN2 LS, there is request only for change so handle triggering LTM in absence of L1 measurements. However, the ea</w:t>
      </w:r>
      <w:r w:rsidR="00C84E4A">
        <w:rPr>
          <w:rFonts w:hint="eastAsia"/>
          <w:noProof/>
          <w:lang w:eastAsia="ja-JP"/>
        </w:rPr>
        <w:t>rly</w:t>
      </w:r>
      <w:r>
        <w:rPr>
          <w:rFonts w:hint="eastAsia"/>
          <w:noProof/>
          <w:lang w:eastAsia="ja-JP"/>
        </w:rPr>
        <w:t xml:space="preserve"> </w:t>
      </w:r>
      <w:r w:rsidR="0031371D">
        <w:rPr>
          <w:noProof/>
          <w:lang w:eastAsia="ja-JP"/>
        </w:rPr>
        <w:t xml:space="preserve">RACH-based </w:t>
      </w:r>
      <w:r>
        <w:rPr>
          <w:rFonts w:hint="eastAsia"/>
          <w:noProof/>
          <w:lang w:eastAsia="ja-JP"/>
        </w:rPr>
        <w:t>TA acquisition procedure at the gNB-DU is based on L1 measurements</w:t>
      </w:r>
      <w:r w:rsidR="0031371D">
        <w:rPr>
          <w:noProof/>
          <w:lang w:eastAsia="ja-JP"/>
        </w:rPr>
        <w:t xml:space="preserve"> where the gNB-DU selects a candidate cell and an associated SSB index and provide these parameters in a PDCCH order to the UE to trigger a RACH premable transmisison towards a candidate cell</w:t>
      </w:r>
      <w:r>
        <w:rPr>
          <w:rFonts w:hint="eastAsia"/>
          <w:noProof/>
          <w:lang w:eastAsia="ja-JP"/>
        </w:rPr>
        <w:t>. Therefore, in our view, it is natural to also take into account L3 based early TA acquisition. In this case, the gNB-CU should indicate the gNB-DU toward which cell</w:t>
      </w:r>
      <w:r w:rsidR="0031371D">
        <w:rPr>
          <w:noProof/>
          <w:lang w:eastAsia="ja-JP"/>
        </w:rPr>
        <w:t xml:space="preserve"> and </w:t>
      </w:r>
      <w:r w:rsidR="00F823CF">
        <w:rPr>
          <w:noProof/>
          <w:lang w:eastAsia="ja-JP"/>
        </w:rPr>
        <w:t>beam (</w:t>
      </w:r>
      <w:r w:rsidR="0031371D">
        <w:rPr>
          <w:noProof/>
          <w:lang w:eastAsia="ja-JP"/>
        </w:rPr>
        <w:t>SSB index</w:t>
      </w:r>
      <w:r w:rsidR="00F823CF">
        <w:rPr>
          <w:noProof/>
          <w:lang w:eastAsia="ja-JP"/>
        </w:rPr>
        <w:t xml:space="preserve"> or TCI State ID)</w:t>
      </w:r>
      <w:r>
        <w:rPr>
          <w:rFonts w:hint="eastAsia"/>
          <w:noProof/>
          <w:lang w:eastAsia="ja-JP"/>
        </w:rPr>
        <w:t xml:space="preserve"> is to be aquired.</w:t>
      </w:r>
    </w:p>
    <w:p w14:paraId="22432764" w14:textId="08F05FA9" w:rsidR="00DC4975" w:rsidRDefault="00DC4975" w:rsidP="00044686">
      <w:pPr>
        <w:jc w:val="both"/>
        <w:rPr>
          <w:noProof/>
          <w:lang w:eastAsia="ja-JP"/>
        </w:rPr>
      </w:pPr>
      <w:r w:rsidRPr="006537C4">
        <w:rPr>
          <w:b/>
          <w:i/>
        </w:rPr>
        <w:t>Proposal</w:t>
      </w:r>
      <w:r w:rsidRPr="006537C4">
        <w:rPr>
          <w:b/>
          <w:bCs/>
          <w:i/>
          <w:iCs/>
        </w:rPr>
        <w:t xml:space="preserve"> </w:t>
      </w:r>
      <w:r w:rsidR="00BC49A4">
        <w:rPr>
          <w:rFonts w:hint="eastAsia"/>
          <w:b/>
          <w:bCs/>
          <w:i/>
          <w:iCs/>
          <w:lang w:eastAsia="ja-JP"/>
        </w:rPr>
        <w:t>2</w:t>
      </w:r>
      <w:r w:rsidRPr="006537C4">
        <w:rPr>
          <w:b/>
          <w:bCs/>
          <w:i/>
          <w:iCs/>
        </w:rPr>
        <w:t xml:space="preserve">: </w:t>
      </w:r>
      <w:r>
        <w:rPr>
          <w:rFonts w:hint="eastAsia"/>
          <w:b/>
          <w:bCs/>
          <w:i/>
          <w:iCs/>
          <w:lang w:eastAsia="ja-JP"/>
        </w:rPr>
        <w:t xml:space="preserve">The gNB-CU indicates over F1 the Cell ID(s) </w:t>
      </w:r>
      <w:r w:rsidR="000C14C3">
        <w:rPr>
          <w:rFonts w:hint="eastAsia"/>
          <w:b/>
          <w:bCs/>
          <w:i/>
          <w:iCs/>
          <w:lang w:eastAsia="ja-JP"/>
        </w:rPr>
        <w:t xml:space="preserve">and SSB index </w:t>
      </w:r>
      <w:r>
        <w:rPr>
          <w:rFonts w:hint="eastAsia"/>
          <w:b/>
          <w:bCs/>
          <w:i/>
          <w:iCs/>
          <w:lang w:eastAsia="ja-JP"/>
        </w:rPr>
        <w:t xml:space="preserve">for early TA </w:t>
      </w:r>
      <w:r>
        <w:rPr>
          <w:b/>
          <w:bCs/>
          <w:i/>
          <w:iCs/>
          <w:lang w:eastAsia="ja-JP"/>
        </w:rPr>
        <w:t>acquisition</w:t>
      </w:r>
      <w:r>
        <w:rPr>
          <w:rFonts w:hint="eastAsia"/>
          <w:b/>
          <w:bCs/>
          <w:i/>
          <w:iCs/>
          <w:lang w:eastAsia="ja-JP"/>
        </w:rPr>
        <w:t xml:space="preserve"> to the gNB-DU.</w:t>
      </w:r>
    </w:p>
    <w:p w14:paraId="74EE2D84" w14:textId="77777777" w:rsidR="0047183A" w:rsidRDefault="0047183A" w:rsidP="00DC4975">
      <w:pPr>
        <w:jc w:val="both"/>
        <w:rPr>
          <w:b/>
          <w:bCs/>
          <w:noProof/>
          <w:u w:val="single"/>
          <w:lang w:eastAsia="ja-JP"/>
        </w:rPr>
      </w:pPr>
    </w:p>
    <w:p w14:paraId="23ED689F" w14:textId="3F45D44C" w:rsidR="00DC4975" w:rsidRPr="002B791C" w:rsidRDefault="00DC4975" w:rsidP="00DC4975">
      <w:pPr>
        <w:jc w:val="both"/>
        <w:rPr>
          <w:b/>
          <w:bCs/>
          <w:noProof/>
          <w:u w:val="single"/>
          <w:lang w:eastAsia="ja-JP"/>
        </w:rPr>
      </w:pPr>
      <w:r>
        <w:rPr>
          <w:rFonts w:hint="eastAsia"/>
          <w:b/>
          <w:bCs/>
          <w:noProof/>
          <w:u w:val="single"/>
          <w:lang w:eastAsia="ja-JP"/>
        </w:rPr>
        <w:t>F1AP Message</w:t>
      </w:r>
    </w:p>
    <w:p w14:paraId="6A18DE21" w14:textId="77777777" w:rsidR="00BC49A4" w:rsidRDefault="00DC4975" w:rsidP="00044686">
      <w:pPr>
        <w:jc w:val="both"/>
        <w:rPr>
          <w:noProof/>
          <w:lang w:eastAsia="ja-JP"/>
        </w:rPr>
      </w:pPr>
      <w:r w:rsidRPr="00DC4975">
        <w:rPr>
          <w:rFonts w:hint="eastAsia"/>
          <w:noProof/>
          <w:lang w:eastAsia="ja-JP"/>
        </w:rPr>
        <w:t xml:space="preserve">With </w:t>
      </w:r>
      <w:r>
        <w:rPr>
          <w:rFonts w:hint="eastAsia"/>
          <w:noProof/>
          <w:lang w:eastAsia="ja-JP"/>
        </w:rPr>
        <w:t xml:space="preserve">respect to which message to use for issuing the </w:t>
      </w:r>
      <w:r w:rsidR="00BC49A4">
        <w:rPr>
          <w:rFonts w:hint="eastAsia"/>
          <w:noProof/>
          <w:lang w:eastAsia="ja-JP"/>
        </w:rPr>
        <w:t xml:space="preserve">LTM command or the early TA acquisition to the UE, it is possible to introduce a new message, or alternatively to reuse the UE Context Modification procedure. </w:t>
      </w:r>
    </w:p>
    <w:p w14:paraId="278D34EE" w14:textId="7C753D59" w:rsidR="00DC4975" w:rsidRDefault="00BC49A4" w:rsidP="00044686">
      <w:pPr>
        <w:jc w:val="both"/>
        <w:rPr>
          <w:noProof/>
          <w:lang w:eastAsia="ja-JP"/>
        </w:rPr>
      </w:pPr>
      <w:r>
        <w:rPr>
          <w:rFonts w:hint="eastAsia"/>
          <w:b/>
          <w:bCs/>
          <w:noProof/>
          <w:lang w:eastAsia="ja-JP"/>
        </w:rPr>
        <w:t xml:space="preserve">Option 1 </w:t>
      </w:r>
      <w:r>
        <w:rPr>
          <w:b/>
          <w:bCs/>
          <w:noProof/>
          <w:lang w:eastAsia="ja-JP"/>
        </w:rPr>
        <w:t>–</w:t>
      </w:r>
      <w:r>
        <w:rPr>
          <w:rFonts w:hint="eastAsia"/>
          <w:b/>
          <w:bCs/>
          <w:noProof/>
          <w:lang w:eastAsia="ja-JP"/>
        </w:rPr>
        <w:t xml:space="preserve"> Reuse UE Context Modification procedure: </w:t>
      </w:r>
      <w:r>
        <w:rPr>
          <w:rFonts w:hint="eastAsia"/>
          <w:noProof/>
          <w:lang w:eastAsia="ja-JP"/>
        </w:rPr>
        <w:t xml:space="preserve">Reusing the existing modification procedure has the benefit of less specification changes, as well as having a response to the gNB-CU confirming that the requested action was triggered. However, at the expense of further signaling and overloading an already quite large procedure used for many general actions, which likely should not be carried out with the LTM actions simultaneously. </w:t>
      </w:r>
    </w:p>
    <w:p w14:paraId="54B43CEA" w14:textId="026A36CC" w:rsidR="00BC49A4" w:rsidRDefault="00BC49A4" w:rsidP="00BC49A4">
      <w:pPr>
        <w:jc w:val="both"/>
        <w:rPr>
          <w:noProof/>
          <w:lang w:eastAsia="ja-JP"/>
        </w:rPr>
      </w:pPr>
      <w:r>
        <w:rPr>
          <w:rFonts w:hint="eastAsia"/>
          <w:b/>
          <w:bCs/>
          <w:noProof/>
          <w:lang w:eastAsia="ja-JP"/>
        </w:rPr>
        <w:t xml:space="preserve">Option 2 </w:t>
      </w:r>
      <w:r>
        <w:rPr>
          <w:b/>
          <w:bCs/>
          <w:noProof/>
          <w:lang w:eastAsia="ja-JP"/>
        </w:rPr>
        <w:t>–</w:t>
      </w:r>
      <w:r>
        <w:rPr>
          <w:rFonts w:hint="eastAsia"/>
          <w:b/>
          <w:bCs/>
          <w:noProof/>
          <w:lang w:eastAsia="ja-JP"/>
        </w:rPr>
        <w:t xml:space="preserve"> Introduce a new procedure: </w:t>
      </w:r>
      <w:r>
        <w:rPr>
          <w:rFonts w:hint="eastAsia"/>
          <w:noProof/>
          <w:lang w:eastAsia="ja-JP"/>
        </w:rPr>
        <w:t xml:space="preserve">A new procedure would allow for a very clear indication of actions that are specific to LTM, and further for somewhat particular cases (scuh as LTM configured without L1 measurements). This would also allow to clearly separate these actions from other existing context modifying actions. However, at expense of further specification changes. </w:t>
      </w:r>
    </w:p>
    <w:p w14:paraId="1EDEB2E0" w14:textId="7C2A3A56" w:rsidR="00BC49A4" w:rsidRDefault="00BC49A4" w:rsidP="00044686">
      <w:pPr>
        <w:jc w:val="both"/>
        <w:rPr>
          <w:noProof/>
          <w:lang w:eastAsia="ja-JP"/>
        </w:rPr>
      </w:pPr>
      <w:r>
        <w:rPr>
          <w:rFonts w:hint="eastAsia"/>
          <w:noProof/>
          <w:lang w:eastAsia="ja-JP"/>
        </w:rPr>
        <w:t>In our view, given that two separate LTM actions are needed (L3 based LTM, and L3 based early TA acquisition), introducing a new procedure would be preferable.</w:t>
      </w:r>
    </w:p>
    <w:p w14:paraId="3B593D47" w14:textId="7C4F6197" w:rsidR="00BC49A4" w:rsidRDefault="00BC49A4" w:rsidP="00BC49A4">
      <w:pPr>
        <w:jc w:val="both"/>
        <w:rPr>
          <w:noProof/>
          <w:lang w:eastAsia="ja-JP"/>
        </w:rPr>
      </w:pPr>
      <w:r w:rsidRPr="006537C4">
        <w:rPr>
          <w:b/>
          <w:i/>
        </w:rPr>
        <w:t>Proposal</w:t>
      </w:r>
      <w:r w:rsidRPr="006537C4">
        <w:rPr>
          <w:b/>
          <w:bCs/>
          <w:i/>
          <w:iCs/>
        </w:rPr>
        <w:t xml:space="preserve"> </w:t>
      </w:r>
      <w:r>
        <w:rPr>
          <w:rFonts w:hint="eastAsia"/>
          <w:b/>
          <w:bCs/>
          <w:i/>
          <w:iCs/>
          <w:lang w:eastAsia="ja-JP"/>
        </w:rPr>
        <w:t>3</w:t>
      </w:r>
      <w:r w:rsidRPr="006537C4">
        <w:rPr>
          <w:b/>
          <w:bCs/>
          <w:i/>
          <w:iCs/>
        </w:rPr>
        <w:t xml:space="preserve">: </w:t>
      </w:r>
      <w:r>
        <w:rPr>
          <w:rFonts w:hint="eastAsia"/>
          <w:b/>
          <w:bCs/>
          <w:i/>
          <w:iCs/>
          <w:lang w:eastAsia="ja-JP"/>
        </w:rPr>
        <w:t>Introduce a new Class</w:t>
      </w:r>
      <w:r w:rsidR="00A16ABD">
        <w:rPr>
          <w:b/>
          <w:bCs/>
          <w:i/>
          <w:iCs/>
          <w:lang w:eastAsia="ja-JP"/>
        </w:rPr>
        <w:t xml:space="preserve"> 2</w:t>
      </w:r>
      <w:r>
        <w:rPr>
          <w:rFonts w:hint="eastAsia"/>
          <w:b/>
          <w:bCs/>
          <w:i/>
          <w:iCs/>
          <w:lang w:eastAsia="ja-JP"/>
        </w:rPr>
        <w:t xml:space="preserve"> procedure for triggering L3 based LTM cell change and L3 based early TA </w:t>
      </w:r>
      <w:r>
        <w:rPr>
          <w:b/>
          <w:bCs/>
          <w:i/>
          <w:iCs/>
          <w:lang w:eastAsia="ja-JP"/>
        </w:rPr>
        <w:t>acquisition</w:t>
      </w:r>
      <w:r>
        <w:rPr>
          <w:rFonts w:hint="eastAsia"/>
          <w:b/>
          <w:bCs/>
          <w:i/>
          <w:iCs/>
          <w:lang w:eastAsia="ja-JP"/>
        </w:rPr>
        <w:t>.</w:t>
      </w:r>
    </w:p>
    <w:p w14:paraId="4DBF6E36" w14:textId="77777777" w:rsidR="00BC49A4" w:rsidRPr="00DC4975" w:rsidRDefault="00BC49A4" w:rsidP="00044686">
      <w:pPr>
        <w:jc w:val="both"/>
        <w:rPr>
          <w:noProof/>
          <w:lang w:eastAsia="ja-JP"/>
        </w:rPr>
      </w:pPr>
    </w:p>
    <w:p w14:paraId="618FDA18" w14:textId="77777777" w:rsidR="000F035E" w:rsidRDefault="000F035E" w:rsidP="000F035E">
      <w:pPr>
        <w:rPr>
          <w:b/>
          <w:i/>
        </w:rPr>
      </w:pPr>
    </w:p>
    <w:p w14:paraId="4E432812" w14:textId="4EAE99B9" w:rsidR="00925387" w:rsidRPr="00B704B9" w:rsidRDefault="00BC49A4" w:rsidP="00925387">
      <w:pPr>
        <w:pStyle w:val="Heading1"/>
        <w:tabs>
          <w:tab w:val="left" w:pos="2410"/>
        </w:tabs>
      </w:pPr>
      <w:r>
        <w:rPr>
          <w:rFonts w:hint="eastAsia"/>
          <w:lang w:eastAsia="ja-JP"/>
        </w:rPr>
        <w:t>4</w:t>
      </w:r>
      <w:r w:rsidR="00925387" w:rsidRPr="00B704B9">
        <w:tab/>
      </w:r>
      <w:r w:rsidR="00925387">
        <w:t>Conclusions</w:t>
      </w:r>
    </w:p>
    <w:p w14:paraId="5B9CC4B0" w14:textId="77777777" w:rsidR="00624B45" w:rsidRDefault="00624B45" w:rsidP="00624B45">
      <w:pPr>
        <w:jc w:val="both"/>
        <w:rPr>
          <w:b/>
          <w:i/>
        </w:rPr>
      </w:pPr>
    </w:p>
    <w:p w14:paraId="5CD2CF6E" w14:textId="32F77DAB" w:rsidR="00624B45" w:rsidRPr="006537C4" w:rsidRDefault="00624B45" w:rsidP="00624B45">
      <w:pPr>
        <w:jc w:val="both"/>
        <w:rPr>
          <w:b/>
          <w:i/>
        </w:rPr>
      </w:pPr>
      <w:r w:rsidRPr="006537C4">
        <w:rPr>
          <w:b/>
          <w:i/>
        </w:rPr>
        <w:lastRenderedPageBreak/>
        <w:t>Proposal</w:t>
      </w:r>
      <w:r w:rsidRPr="006537C4">
        <w:rPr>
          <w:b/>
          <w:bCs/>
          <w:i/>
          <w:iCs/>
        </w:rPr>
        <w:t xml:space="preserve"> </w:t>
      </w:r>
      <w:r>
        <w:rPr>
          <w:rFonts w:hint="eastAsia"/>
          <w:b/>
          <w:bCs/>
          <w:i/>
          <w:iCs/>
          <w:lang w:eastAsia="ja-JP"/>
        </w:rPr>
        <w:t>1</w:t>
      </w:r>
      <w:r w:rsidRPr="006537C4">
        <w:rPr>
          <w:b/>
          <w:bCs/>
          <w:i/>
          <w:iCs/>
        </w:rPr>
        <w:t xml:space="preserve">: </w:t>
      </w:r>
      <w:r>
        <w:rPr>
          <w:rFonts w:hint="eastAsia"/>
          <w:b/>
          <w:bCs/>
          <w:i/>
          <w:iCs/>
          <w:lang w:eastAsia="ja-JP"/>
        </w:rPr>
        <w:t xml:space="preserve">The gNB-CU indicates over F1 the Cell ID and target </w:t>
      </w:r>
      <w:r>
        <w:rPr>
          <w:b/>
          <w:bCs/>
          <w:i/>
          <w:iCs/>
          <w:lang w:eastAsia="ja-JP"/>
        </w:rPr>
        <w:t>TCI State(s) or SSB index</w:t>
      </w:r>
      <w:r>
        <w:rPr>
          <w:rFonts w:hint="eastAsia"/>
          <w:b/>
          <w:bCs/>
          <w:i/>
          <w:iCs/>
          <w:lang w:eastAsia="ja-JP"/>
        </w:rPr>
        <w:t xml:space="preserve"> for LTM cell change to the gNB-DU.</w:t>
      </w:r>
      <w:r w:rsidRPr="0010597B">
        <w:rPr>
          <w:b/>
          <w:i/>
        </w:rPr>
        <w:t xml:space="preserve"> </w:t>
      </w:r>
    </w:p>
    <w:p w14:paraId="1E6C9CE2" w14:textId="67E3DC37" w:rsidR="00624B45" w:rsidRDefault="00624B45" w:rsidP="00624B45">
      <w:pPr>
        <w:jc w:val="both"/>
        <w:rPr>
          <w:noProof/>
          <w:lang w:eastAsia="ja-JP"/>
        </w:rPr>
      </w:pPr>
      <w:r w:rsidRPr="006537C4">
        <w:rPr>
          <w:b/>
          <w:i/>
        </w:rPr>
        <w:t>Proposal</w:t>
      </w:r>
      <w:r w:rsidRPr="006537C4">
        <w:rPr>
          <w:b/>
          <w:bCs/>
          <w:i/>
          <w:iCs/>
        </w:rPr>
        <w:t xml:space="preserve"> </w:t>
      </w:r>
      <w:r>
        <w:rPr>
          <w:rFonts w:hint="eastAsia"/>
          <w:b/>
          <w:bCs/>
          <w:i/>
          <w:iCs/>
          <w:lang w:eastAsia="ja-JP"/>
        </w:rPr>
        <w:t>2</w:t>
      </w:r>
      <w:r w:rsidRPr="006537C4">
        <w:rPr>
          <w:b/>
          <w:bCs/>
          <w:i/>
          <w:iCs/>
        </w:rPr>
        <w:t xml:space="preserve">: </w:t>
      </w:r>
      <w:r>
        <w:rPr>
          <w:rFonts w:hint="eastAsia"/>
          <w:b/>
          <w:bCs/>
          <w:i/>
          <w:iCs/>
          <w:lang w:eastAsia="ja-JP"/>
        </w:rPr>
        <w:t xml:space="preserve">The gNB-CU indicates over F1 the Cell ID(s) and </w:t>
      </w:r>
      <w:r w:rsidR="002D60E8">
        <w:rPr>
          <w:b/>
          <w:bCs/>
          <w:i/>
          <w:iCs/>
          <w:lang w:eastAsia="ja-JP"/>
        </w:rPr>
        <w:t xml:space="preserve">target TCI State(s) or </w:t>
      </w:r>
      <w:r>
        <w:rPr>
          <w:rFonts w:hint="eastAsia"/>
          <w:b/>
          <w:bCs/>
          <w:i/>
          <w:iCs/>
          <w:lang w:eastAsia="ja-JP"/>
        </w:rPr>
        <w:t xml:space="preserve">SSB index for early TA </w:t>
      </w:r>
      <w:r>
        <w:rPr>
          <w:b/>
          <w:bCs/>
          <w:i/>
          <w:iCs/>
          <w:lang w:eastAsia="ja-JP"/>
        </w:rPr>
        <w:t>acquisition</w:t>
      </w:r>
      <w:r>
        <w:rPr>
          <w:rFonts w:hint="eastAsia"/>
          <w:b/>
          <w:bCs/>
          <w:i/>
          <w:iCs/>
          <w:lang w:eastAsia="ja-JP"/>
        </w:rPr>
        <w:t xml:space="preserve"> to the gNB-DU.</w:t>
      </w:r>
    </w:p>
    <w:p w14:paraId="47CB4F7C" w14:textId="21672234" w:rsidR="00624B45" w:rsidRDefault="00624B45" w:rsidP="00624B45">
      <w:r w:rsidRPr="006537C4">
        <w:rPr>
          <w:b/>
          <w:i/>
        </w:rPr>
        <w:t>Proposal</w:t>
      </w:r>
      <w:r w:rsidRPr="006537C4">
        <w:rPr>
          <w:b/>
          <w:bCs/>
          <w:i/>
          <w:iCs/>
        </w:rPr>
        <w:t xml:space="preserve"> </w:t>
      </w:r>
      <w:r>
        <w:rPr>
          <w:rFonts w:hint="eastAsia"/>
          <w:b/>
          <w:bCs/>
          <w:i/>
          <w:iCs/>
          <w:lang w:eastAsia="ja-JP"/>
        </w:rPr>
        <w:t>3</w:t>
      </w:r>
      <w:r w:rsidRPr="006537C4">
        <w:rPr>
          <w:b/>
          <w:bCs/>
          <w:i/>
          <w:iCs/>
        </w:rPr>
        <w:t xml:space="preserve">: </w:t>
      </w:r>
      <w:r>
        <w:rPr>
          <w:rFonts w:hint="eastAsia"/>
          <w:b/>
          <w:bCs/>
          <w:i/>
          <w:iCs/>
          <w:lang w:eastAsia="ja-JP"/>
        </w:rPr>
        <w:t xml:space="preserve">Introduce a new Class </w:t>
      </w:r>
      <w:r w:rsidR="00A16ABD">
        <w:rPr>
          <w:b/>
          <w:bCs/>
          <w:i/>
          <w:iCs/>
          <w:lang w:eastAsia="ja-JP"/>
        </w:rPr>
        <w:t xml:space="preserve">2 </w:t>
      </w:r>
      <w:r>
        <w:rPr>
          <w:rFonts w:hint="eastAsia"/>
          <w:b/>
          <w:bCs/>
          <w:i/>
          <w:iCs/>
          <w:lang w:eastAsia="ja-JP"/>
        </w:rPr>
        <w:t xml:space="preserve">procedure for triggering L3 based LTM cell change and L3 based early TA </w:t>
      </w:r>
      <w:r>
        <w:rPr>
          <w:b/>
          <w:bCs/>
          <w:i/>
          <w:iCs/>
          <w:lang w:eastAsia="ja-JP"/>
        </w:rPr>
        <w:t>acquisition</w:t>
      </w: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3BD0850D" w14:textId="77777777" w:rsidR="00BC49A4" w:rsidRDefault="00BC49A4" w:rsidP="00925387">
      <w:pPr>
        <w:numPr>
          <w:ilvl w:val="0"/>
          <w:numId w:val="7"/>
        </w:numPr>
        <w:overflowPunct w:val="0"/>
        <w:autoSpaceDE w:val="0"/>
        <w:autoSpaceDN w:val="0"/>
        <w:adjustRightInd w:val="0"/>
        <w:textAlignment w:val="baseline"/>
        <w:rPr>
          <w:lang w:val="en-US"/>
        </w:rPr>
      </w:pPr>
      <w:r>
        <w:rPr>
          <w:rFonts w:hint="eastAsia"/>
          <w:lang w:val="en-US" w:eastAsia="ja-JP"/>
        </w:rPr>
        <w:t>R4-2410302</w:t>
      </w:r>
    </w:p>
    <w:p w14:paraId="14E8AE0C" w14:textId="77777777" w:rsidR="00FB4FBA" w:rsidRDefault="00BC49A4" w:rsidP="00925387">
      <w:pPr>
        <w:numPr>
          <w:ilvl w:val="0"/>
          <w:numId w:val="7"/>
        </w:numPr>
        <w:overflowPunct w:val="0"/>
        <w:autoSpaceDE w:val="0"/>
        <w:autoSpaceDN w:val="0"/>
        <w:adjustRightInd w:val="0"/>
        <w:textAlignment w:val="baseline"/>
        <w:rPr>
          <w:lang w:val="en-US"/>
        </w:rPr>
      </w:pPr>
      <w:r>
        <w:rPr>
          <w:rFonts w:hint="eastAsia"/>
          <w:lang w:val="en-US" w:eastAsia="ja-JP"/>
        </w:rPr>
        <w:t>R</w:t>
      </w:r>
      <w:r w:rsidR="00FB4FBA">
        <w:rPr>
          <w:rFonts w:hint="eastAsia"/>
          <w:lang w:val="en-US" w:eastAsia="ja-JP"/>
        </w:rPr>
        <w:t>2-2406227</w:t>
      </w:r>
    </w:p>
    <w:p w14:paraId="03863E50" w14:textId="6AA8C477" w:rsidR="00FB4FBA" w:rsidRDefault="00FB4FBA" w:rsidP="00FB4FBA">
      <w:pPr>
        <w:numPr>
          <w:ilvl w:val="0"/>
          <w:numId w:val="7"/>
        </w:numPr>
        <w:overflowPunct w:val="0"/>
        <w:autoSpaceDE w:val="0"/>
        <w:autoSpaceDN w:val="0"/>
        <w:adjustRightInd w:val="0"/>
        <w:textAlignment w:val="baseline"/>
        <w:rPr>
          <w:lang w:val="en-US"/>
        </w:rPr>
      </w:pPr>
      <w:r>
        <w:rPr>
          <w:rFonts w:hint="eastAsia"/>
          <w:lang w:val="en-US" w:eastAsia="ja-JP"/>
        </w:rPr>
        <w:t>R2-2407606</w:t>
      </w:r>
    </w:p>
    <w:sectPr w:rsidR="00FB4FBA" w:rsidSect="00260955">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92845" w14:textId="77777777" w:rsidR="00410DCB" w:rsidRDefault="00410DCB">
      <w:r>
        <w:separator/>
      </w:r>
    </w:p>
  </w:endnote>
  <w:endnote w:type="continuationSeparator" w:id="0">
    <w:p w14:paraId="3398F3B6" w14:textId="77777777" w:rsidR="00410DCB" w:rsidRDefault="00410DCB">
      <w:r>
        <w:continuationSeparator/>
      </w:r>
    </w:p>
  </w:endnote>
  <w:endnote w:type="continuationNotice" w:id="1">
    <w:p w14:paraId="26363533" w14:textId="77777777" w:rsidR="00410DCB" w:rsidRDefault="00410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7075F" w14:textId="77777777" w:rsidR="00410DCB" w:rsidRDefault="00410DCB">
      <w:r>
        <w:separator/>
      </w:r>
    </w:p>
  </w:footnote>
  <w:footnote w:type="continuationSeparator" w:id="0">
    <w:p w14:paraId="28F966D8" w14:textId="77777777" w:rsidR="00410DCB" w:rsidRDefault="00410DCB">
      <w:r>
        <w:continuationSeparator/>
      </w:r>
    </w:p>
  </w:footnote>
  <w:footnote w:type="continuationNotice" w:id="1">
    <w:p w14:paraId="1285B4F6" w14:textId="77777777" w:rsidR="00410DCB" w:rsidRDefault="00410D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C8EB9" w14:textId="77777777" w:rsidR="00FB4FBA" w:rsidRDefault="00FB4F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
  </w:num>
  <w:num w:numId="2" w16cid:durableId="1543446513">
    <w:abstractNumId w:val="6"/>
  </w:num>
  <w:num w:numId="3" w16cid:durableId="1720008383">
    <w:abstractNumId w:val="5"/>
  </w:num>
  <w:num w:numId="4" w16cid:durableId="353578630">
    <w:abstractNumId w:val="7"/>
  </w:num>
  <w:num w:numId="5" w16cid:durableId="2031296170">
    <w:abstractNumId w:val="9"/>
  </w:num>
  <w:num w:numId="6" w16cid:durableId="968314810">
    <w:abstractNumId w:val="1"/>
  </w:num>
  <w:num w:numId="7" w16cid:durableId="1763990094">
    <w:abstractNumId w:val="4"/>
  </w:num>
  <w:num w:numId="8" w16cid:durableId="88544609">
    <w:abstractNumId w:val="10"/>
  </w:num>
  <w:num w:numId="9" w16cid:durableId="2051955972">
    <w:abstractNumId w:val="11"/>
  </w:num>
  <w:num w:numId="10" w16cid:durableId="1331375390">
    <w:abstractNumId w:val="0"/>
  </w:num>
  <w:num w:numId="11" w16cid:durableId="514805493">
    <w:abstractNumId w:val="12"/>
  </w:num>
  <w:num w:numId="12" w16cid:durableId="2096244259">
    <w:abstractNumId w:val="8"/>
  </w:num>
  <w:num w:numId="13" w16cid:durableId="128576919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431"/>
    <w:rsid w:val="0000457B"/>
    <w:rsid w:val="00005999"/>
    <w:rsid w:val="000065FA"/>
    <w:rsid w:val="000066F0"/>
    <w:rsid w:val="00006916"/>
    <w:rsid w:val="000074E9"/>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51A"/>
    <w:rsid w:val="00023524"/>
    <w:rsid w:val="000237B6"/>
    <w:rsid w:val="00024593"/>
    <w:rsid w:val="00024750"/>
    <w:rsid w:val="000261CE"/>
    <w:rsid w:val="0003004C"/>
    <w:rsid w:val="000300BF"/>
    <w:rsid w:val="00030697"/>
    <w:rsid w:val="0003202C"/>
    <w:rsid w:val="00032D02"/>
    <w:rsid w:val="00033397"/>
    <w:rsid w:val="00033EB4"/>
    <w:rsid w:val="000342C7"/>
    <w:rsid w:val="0003582E"/>
    <w:rsid w:val="000360D9"/>
    <w:rsid w:val="000364D4"/>
    <w:rsid w:val="000366B6"/>
    <w:rsid w:val="00036D42"/>
    <w:rsid w:val="00036F71"/>
    <w:rsid w:val="00040095"/>
    <w:rsid w:val="000413AC"/>
    <w:rsid w:val="00042620"/>
    <w:rsid w:val="0004263A"/>
    <w:rsid w:val="00044686"/>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6B9"/>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4CA"/>
    <w:rsid w:val="000B76FD"/>
    <w:rsid w:val="000B7BCF"/>
    <w:rsid w:val="000B7DCF"/>
    <w:rsid w:val="000C00D3"/>
    <w:rsid w:val="000C01E3"/>
    <w:rsid w:val="000C0C13"/>
    <w:rsid w:val="000C14C3"/>
    <w:rsid w:val="000C155D"/>
    <w:rsid w:val="000C1CC1"/>
    <w:rsid w:val="000C1D67"/>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FC4"/>
    <w:rsid w:val="000F16C4"/>
    <w:rsid w:val="000F2A42"/>
    <w:rsid w:val="000F2AB8"/>
    <w:rsid w:val="000F2EC3"/>
    <w:rsid w:val="000F3C3E"/>
    <w:rsid w:val="000F4440"/>
    <w:rsid w:val="000F4692"/>
    <w:rsid w:val="000F4CBF"/>
    <w:rsid w:val="000F51EF"/>
    <w:rsid w:val="000F56F0"/>
    <w:rsid w:val="000F5B5B"/>
    <w:rsid w:val="000F64D9"/>
    <w:rsid w:val="000F6705"/>
    <w:rsid w:val="000F6E1F"/>
    <w:rsid w:val="000F70E8"/>
    <w:rsid w:val="0010009C"/>
    <w:rsid w:val="00100853"/>
    <w:rsid w:val="00101A68"/>
    <w:rsid w:val="00101BDD"/>
    <w:rsid w:val="00101F3D"/>
    <w:rsid w:val="00101FBE"/>
    <w:rsid w:val="00102002"/>
    <w:rsid w:val="001023FA"/>
    <w:rsid w:val="00102B00"/>
    <w:rsid w:val="0010331E"/>
    <w:rsid w:val="00103AFB"/>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3434"/>
    <w:rsid w:val="0016402C"/>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4BED"/>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712"/>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5C03"/>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349"/>
    <w:rsid w:val="001F0424"/>
    <w:rsid w:val="001F0621"/>
    <w:rsid w:val="001F156F"/>
    <w:rsid w:val="001F168B"/>
    <w:rsid w:val="001F207D"/>
    <w:rsid w:val="001F2E3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3D17"/>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B46"/>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712"/>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57BA7"/>
    <w:rsid w:val="00260365"/>
    <w:rsid w:val="0026071C"/>
    <w:rsid w:val="00260955"/>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0EF8"/>
    <w:rsid w:val="00281081"/>
    <w:rsid w:val="0028199F"/>
    <w:rsid w:val="00282302"/>
    <w:rsid w:val="0028275C"/>
    <w:rsid w:val="0028342C"/>
    <w:rsid w:val="00283E45"/>
    <w:rsid w:val="00283E82"/>
    <w:rsid w:val="002845EF"/>
    <w:rsid w:val="00284607"/>
    <w:rsid w:val="002855BF"/>
    <w:rsid w:val="00285943"/>
    <w:rsid w:val="00285F90"/>
    <w:rsid w:val="00286494"/>
    <w:rsid w:val="00287C44"/>
    <w:rsid w:val="00290166"/>
    <w:rsid w:val="0029045F"/>
    <w:rsid w:val="00290490"/>
    <w:rsid w:val="002904BB"/>
    <w:rsid w:val="00290FC8"/>
    <w:rsid w:val="00291006"/>
    <w:rsid w:val="002913FF"/>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B791C"/>
    <w:rsid w:val="002C0917"/>
    <w:rsid w:val="002C0B16"/>
    <w:rsid w:val="002C0F5B"/>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1287"/>
    <w:rsid w:val="002D1672"/>
    <w:rsid w:val="002D2430"/>
    <w:rsid w:val="002D282F"/>
    <w:rsid w:val="002D2E55"/>
    <w:rsid w:val="002D33D8"/>
    <w:rsid w:val="002D3EC0"/>
    <w:rsid w:val="002D49C3"/>
    <w:rsid w:val="002D4B68"/>
    <w:rsid w:val="002D4F20"/>
    <w:rsid w:val="002D60E8"/>
    <w:rsid w:val="002E0428"/>
    <w:rsid w:val="002E0503"/>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4BE7"/>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B0B"/>
    <w:rsid w:val="00311508"/>
    <w:rsid w:val="00311ED3"/>
    <w:rsid w:val="003121E2"/>
    <w:rsid w:val="00312B8C"/>
    <w:rsid w:val="00313043"/>
    <w:rsid w:val="0031368E"/>
    <w:rsid w:val="0031371D"/>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25"/>
    <w:rsid w:val="003A799D"/>
    <w:rsid w:val="003A7D1E"/>
    <w:rsid w:val="003B02A9"/>
    <w:rsid w:val="003B0B85"/>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8F4"/>
    <w:rsid w:val="003D1B1A"/>
    <w:rsid w:val="003D1D82"/>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39F5"/>
    <w:rsid w:val="003F55D8"/>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0DCB"/>
    <w:rsid w:val="00411284"/>
    <w:rsid w:val="00411446"/>
    <w:rsid w:val="00411AA6"/>
    <w:rsid w:val="00411FA7"/>
    <w:rsid w:val="004129C6"/>
    <w:rsid w:val="0041379A"/>
    <w:rsid w:val="00413C87"/>
    <w:rsid w:val="004150C0"/>
    <w:rsid w:val="00415695"/>
    <w:rsid w:val="00415DCC"/>
    <w:rsid w:val="00416BD5"/>
    <w:rsid w:val="00417596"/>
    <w:rsid w:val="00417CD3"/>
    <w:rsid w:val="00420701"/>
    <w:rsid w:val="00420796"/>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3C49"/>
    <w:rsid w:val="00453D54"/>
    <w:rsid w:val="00453F25"/>
    <w:rsid w:val="004551D7"/>
    <w:rsid w:val="00456064"/>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83A"/>
    <w:rsid w:val="00471964"/>
    <w:rsid w:val="00471C27"/>
    <w:rsid w:val="00471E4B"/>
    <w:rsid w:val="00472017"/>
    <w:rsid w:val="00472D9B"/>
    <w:rsid w:val="00473105"/>
    <w:rsid w:val="004740F4"/>
    <w:rsid w:val="00474600"/>
    <w:rsid w:val="00475715"/>
    <w:rsid w:val="00476701"/>
    <w:rsid w:val="00476863"/>
    <w:rsid w:val="00476ABB"/>
    <w:rsid w:val="00477257"/>
    <w:rsid w:val="0047760F"/>
    <w:rsid w:val="00477DE2"/>
    <w:rsid w:val="00477E5E"/>
    <w:rsid w:val="004807C8"/>
    <w:rsid w:val="00481ACB"/>
    <w:rsid w:val="004835B0"/>
    <w:rsid w:val="0048365F"/>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8FF"/>
    <w:rsid w:val="004C6073"/>
    <w:rsid w:val="004C62E6"/>
    <w:rsid w:val="004C65A8"/>
    <w:rsid w:val="004C75EF"/>
    <w:rsid w:val="004C7877"/>
    <w:rsid w:val="004C7BCE"/>
    <w:rsid w:val="004D03AD"/>
    <w:rsid w:val="004D0D40"/>
    <w:rsid w:val="004D1F1C"/>
    <w:rsid w:val="004D2D61"/>
    <w:rsid w:val="004D3245"/>
    <w:rsid w:val="004D3578"/>
    <w:rsid w:val="004D35B7"/>
    <w:rsid w:val="004D380D"/>
    <w:rsid w:val="004D3C23"/>
    <w:rsid w:val="004D4144"/>
    <w:rsid w:val="004D4C62"/>
    <w:rsid w:val="004D4F73"/>
    <w:rsid w:val="004D5176"/>
    <w:rsid w:val="004D5397"/>
    <w:rsid w:val="004D5641"/>
    <w:rsid w:val="004D565A"/>
    <w:rsid w:val="004D644A"/>
    <w:rsid w:val="004D7193"/>
    <w:rsid w:val="004D74A5"/>
    <w:rsid w:val="004E072A"/>
    <w:rsid w:val="004E0C63"/>
    <w:rsid w:val="004E1758"/>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94C"/>
    <w:rsid w:val="00501E34"/>
    <w:rsid w:val="005022B8"/>
    <w:rsid w:val="00502ACC"/>
    <w:rsid w:val="00503171"/>
    <w:rsid w:val="00503934"/>
    <w:rsid w:val="00503E24"/>
    <w:rsid w:val="00504421"/>
    <w:rsid w:val="00505386"/>
    <w:rsid w:val="00505EFC"/>
    <w:rsid w:val="00505F5D"/>
    <w:rsid w:val="00506142"/>
    <w:rsid w:val="00506E02"/>
    <w:rsid w:val="00507322"/>
    <w:rsid w:val="005079A2"/>
    <w:rsid w:val="00510058"/>
    <w:rsid w:val="00510199"/>
    <w:rsid w:val="005102F9"/>
    <w:rsid w:val="00511172"/>
    <w:rsid w:val="00511223"/>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CD3"/>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416"/>
    <w:rsid w:val="0056573F"/>
    <w:rsid w:val="00565858"/>
    <w:rsid w:val="00565951"/>
    <w:rsid w:val="00565D39"/>
    <w:rsid w:val="0056644D"/>
    <w:rsid w:val="00566D2C"/>
    <w:rsid w:val="005671B8"/>
    <w:rsid w:val="0056766E"/>
    <w:rsid w:val="00567DFD"/>
    <w:rsid w:val="00570A8F"/>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24C0"/>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B8B"/>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D8"/>
    <w:rsid w:val="005B3C1C"/>
    <w:rsid w:val="005B461D"/>
    <w:rsid w:val="005B651C"/>
    <w:rsid w:val="005B6646"/>
    <w:rsid w:val="005B705A"/>
    <w:rsid w:val="005C055B"/>
    <w:rsid w:val="005C0659"/>
    <w:rsid w:val="005C0930"/>
    <w:rsid w:val="005C0CEB"/>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46C"/>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E25"/>
    <w:rsid w:val="00622E1A"/>
    <w:rsid w:val="00623161"/>
    <w:rsid w:val="00623789"/>
    <w:rsid w:val="006238DE"/>
    <w:rsid w:val="006246A5"/>
    <w:rsid w:val="00624B45"/>
    <w:rsid w:val="0062500C"/>
    <w:rsid w:val="00626206"/>
    <w:rsid w:val="0062658E"/>
    <w:rsid w:val="0062760B"/>
    <w:rsid w:val="00630635"/>
    <w:rsid w:val="006315EB"/>
    <w:rsid w:val="0063292C"/>
    <w:rsid w:val="0063293A"/>
    <w:rsid w:val="00632B4F"/>
    <w:rsid w:val="00632BD8"/>
    <w:rsid w:val="00632D54"/>
    <w:rsid w:val="00633931"/>
    <w:rsid w:val="00636E70"/>
    <w:rsid w:val="00636EE6"/>
    <w:rsid w:val="006371E4"/>
    <w:rsid w:val="00637617"/>
    <w:rsid w:val="006376A2"/>
    <w:rsid w:val="00637E3F"/>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FC"/>
    <w:rsid w:val="00685A7E"/>
    <w:rsid w:val="006864E1"/>
    <w:rsid w:val="006869FD"/>
    <w:rsid w:val="00690021"/>
    <w:rsid w:val="006904DE"/>
    <w:rsid w:val="00690975"/>
    <w:rsid w:val="00690FBE"/>
    <w:rsid w:val="006927E9"/>
    <w:rsid w:val="006930F6"/>
    <w:rsid w:val="006936FC"/>
    <w:rsid w:val="00693DF3"/>
    <w:rsid w:val="00694071"/>
    <w:rsid w:val="0069570F"/>
    <w:rsid w:val="00695A26"/>
    <w:rsid w:val="006968D7"/>
    <w:rsid w:val="00696B95"/>
    <w:rsid w:val="006976B7"/>
    <w:rsid w:val="00697E79"/>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9"/>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A5"/>
    <w:rsid w:val="006E58C1"/>
    <w:rsid w:val="006E5B02"/>
    <w:rsid w:val="006E618D"/>
    <w:rsid w:val="006E627A"/>
    <w:rsid w:val="006E700A"/>
    <w:rsid w:val="006E71D0"/>
    <w:rsid w:val="006E7C56"/>
    <w:rsid w:val="006F01AD"/>
    <w:rsid w:val="006F036B"/>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100D1"/>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218"/>
    <w:rsid w:val="00744742"/>
    <w:rsid w:val="00744E76"/>
    <w:rsid w:val="00745A5D"/>
    <w:rsid w:val="007464F1"/>
    <w:rsid w:val="00746962"/>
    <w:rsid w:val="00746F32"/>
    <w:rsid w:val="00747986"/>
    <w:rsid w:val="00747B1C"/>
    <w:rsid w:val="00747F81"/>
    <w:rsid w:val="0075088D"/>
    <w:rsid w:val="00750CE7"/>
    <w:rsid w:val="007511B4"/>
    <w:rsid w:val="007515AF"/>
    <w:rsid w:val="0075168D"/>
    <w:rsid w:val="007516DE"/>
    <w:rsid w:val="00751B86"/>
    <w:rsid w:val="007521D8"/>
    <w:rsid w:val="00752A88"/>
    <w:rsid w:val="007530AF"/>
    <w:rsid w:val="0075337D"/>
    <w:rsid w:val="007533D4"/>
    <w:rsid w:val="007533DC"/>
    <w:rsid w:val="007535DD"/>
    <w:rsid w:val="007536AA"/>
    <w:rsid w:val="00753BF7"/>
    <w:rsid w:val="00753D23"/>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CEF"/>
    <w:rsid w:val="00784DC4"/>
    <w:rsid w:val="007851BE"/>
    <w:rsid w:val="00785DBC"/>
    <w:rsid w:val="0078718A"/>
    <w:rsid w:val="00787213"/>
    <w:rsid w:val="0078727C"/>
    <w:rsid w:val="007875F8"/>
    <w:rsid w:val="007879F5"/>
    <w:rsid w:val="00790CCA"/>
    <w:rsid w:val="00792344"/>
    <w:rsid w:val="007925A4"/>
    <w:rsid w:val="0079269C"/>
    <w:rsid w:val="007930FF"/>
    <w:rsid w:val="007934C8"/>
    <w:rsid w:val="007939E9"/>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665"/>
    <w:rsid w:val="007A3950"/>
    <w:rsid w:val="007A44B6"/>
    <w:rsid w:val="007A4B1A"/>
    <w:rsid w:val="007A5BB5"/>
    <w:rsid w:val="007A5CBC"/>
    <w:rsid w:val="007A6354"/>
    <w:rsid w:val="007A6491"/>
    <w:rsid w:val="007A6B98"/>
    <w:rsid w:val="007A6C7D"/>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6D8E"/>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9B0"/>
    <w:rsid w:val="00823E70"/>
    <w:rsid w:val="00823EA6"/>
    <w:rsid w:val="00824E55"/>
    <w:rsid w:val="008250AF"/>
    <w:rsid w:val="0082532A"/>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2E9"/>
    <w:rsid w:val="00835649"/>
    <w:rsid w:val="00835D17"/>
    <w:rsid w:val="00835E4F"/>
    <w:rsid w:val="0083624C"/>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530"/>
    <w:rsid w:val="0084368F"/>
    <w:rsid w:val="008437D8"/>
    <w:rsid w:val="0084403D"/>
    <w:rsid w:val="00844099"/>
    <w:rsid w:val="0084457C"/>
    <w:rsid w:val="00844A3C"/>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D18"/>
    <w:rsid w:val="00855D5A"/>
    <w:rsid w:val="0085649A"/>
    <w:rsid w:val="00856D25"/>
    <w:rsid w:val="0085724C"/>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6B80"/>
    <w:rsid w:val="00866E76"/>
    <w:rsid w:val="00870AEC"/>
    <w:rsid w:val="00870D0C"/>
    <w:rsid w:val="008712F8"/>
    <w:rsid w:val="00871523"/>
    <w:rsid w:val="00871B0D"/>
    <w:rsid w:val="00871D4F"/>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798"/>
    <w:rsid w:val="00881806"/>
    <w:rsid w:val="00881CF3"/>
    <w:rsid w:val="00881DF1"/>
    <w:rsid w:val="00882561"/>
    <w:rsid w:val="00882FCA"/>
    <w:rsid w:val="00883569"/>
    <w:rsid w:val="00883F19"/>
    <w:rsid w:val="0088571B"/>
    <w:rsid w:val="00885EE2"/>
    <w:rsid w:val="0088651E"/>
    <w:rsid w:val="00886D24"/>
    <w:rsid w:val="008872B8"/>
    <w:rsid w:val="008879C0"/>
    <w:rsid w:val="00892956"/>
    <w:rsid w:val="00892CE0"/>
    <w:rsid w:val="0089478E"/>
    <w:rsid w:val="00894C80"/>
    <w:rsid w:val="00895850"/>
    <w:rsid w:val="00895852"/>
    <w:rsid w:val="00896279"/>
    <w:rsid w:val="0089631F"/>
    <w:rsid w:val="00896351"/>
    <w:rsid w:val="00896515"/>
    <w:rsid w:val="00897100"/>
    <w:rsid w:val="0089728B"/>
    <w:rsid w:val="00897308"/>
    <w:rsid w:val="008973BE"/>
    <w:rsid w:val="008A00A1"/>
    <w:rsid w:val="008A0506"/>
    <w:rsid w:val="008A06BE"/>
    <w:rsid w:val="008A116A"/>
    <w:rsid w:val="008A144B"/>
    <w:rsid w:val="008A1A15"/>
    <w:rsid w:val="008A2461"/>
    <w:rsid w:val="008A2615"/>
    <w:rsid w:val="008A2BCF"/>
    <w:rsid w:val="008A3B1C"/>
    <w:rsid w:val="008A468C"/>
    <w:rsid w:val="008A5D97"/>
    <w:rsid w:val="008A628C"/>
    <w:rsid w:val="008A7152"/>
    <w:rsid w:val="008A7599"/>
    <w:rsid w:val="008A7948"/>
    <w:rsid w:val="008B0700"/>
    <w:rsid w:val="008B0B35"/>
    <w:rsid w:val="008B0E8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06B"/>
    <w:rsid w:val="008C5ABF"/>
    <w:rsid w:val="008C60BD"/>
    <w:rsid w:val="008D04E2"/>
    <w:rsid w:val="008D0613"/>
    <w:rsid w:val="008D131A"/>
    <w:rsid w:val="008D1D13"/>
    <w:rsid w:val="008D1E0A"/>
    <w:rsid w:val="008D2D18"/>
    <w:rsid w:val="008D344A"/>
    <w:rsid w:val="008D433A"/>
    <w:rsid w:val="008D49FA"/>
    <w:rsid w:val="008D4B8E"/>
    <w:rsid w:val="008D52E1"/>
    <w:rsid w:val="008D575F"/>
    <w:rsid w:val="008D5E70"/>
    <w:rsid w:val="008D6119"/>
    <w:rsid w:val="008D6375"/>
    <w:rsid w:val="008D6E70"/>
    <w:rsid w:val="008D7600"/>
    <w:rsid w:val="008E0D52"/>
    <w:rsid w:val="008E1DD1"/>
    <w:rsid w:val="008E2E39"/>
    <w:rsid w:val="008E3C2E"/>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CC8"/>
    <w:rsid w:val="008F1FDD"/>
    <w:rsid w:val="008F2A73"/>
    <w:rsid w:val="008F318B"/>
    <w:rsid w:val="008F327F"/>
    <w:rsid w:val="008F380D"/>
    <w:rsid w:val="008F4946"/>
    <w:rsid w:val="008F4F1B"/>
    <w:rsid w:val="008F51A0"/>
    <w:rsid w:val="008F55B3"/>
    <w:rsid w:val="008F56A0"/>
    <w:rsid w:val="008F56E2"/>
    <w:rsid w:val="008F5C4A"/>
    <w:rsid w:val="008F5E56"/>
    <w:rsid w:val="008F60BC"/>
    <w:rsid w:val="008F7459"/>
    <w:rsid w:val="008F7B39"/>
    <w:rsid w:val="008F7E98"/>
    <w:rsid w:val="00900782"/>
    <w:rsid w:val="00900ECA"/>
    <w:rsid w:val="00901129"/>
    <w:rsid w:val="009016FE"/>
    <w:rsid w:val="00901E16"/>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90"/>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5D2D"/>
    <w:rsid w:val="009265A4"/>
    <w:rsid w:val="009266DC"/>
    <w:rsid w:val="00926C41"/>
    <w:rsid w:val="00927C09"/>
    <w:rsid w:val="00930622"/>
    <w:rsid w:val="00930DF0"/>
    <w:rsid w:val="009310EA"/>
    <w:rsid w:val="00931243"/>
    <w:rsid w:val="00931317"/>
    <w:rsid w:val="00931A5B"/>
    <w:rsid w:val="00931E5D"/>
    <w:rsid w:val="00935745"/>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51D"/>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124C"/>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34B"/>
    <w:rsid w:val="009B3444"/>
    <w:rsid w:val="009B3FAB"/>
    <w:rsid w:val="009B4394"/>
    <w:rsid w:val="009B50C1"/>
    <w:rsid w:val="009B5653"/>
    <w:rsid w:val="009B6537"/>
    <w:rsid w:val="009B6611"/>
    <w:rsid w:val="009B682D"/>
    <w:rsid w:val="009B7EA1"/>
    <w:rsid w:val="009C033E"/>
    <w:rsid w:val="009C0AAF"/>
    <w:rsid w:val="009C1096"/>
    <w:rsid w:val="009C11AF"/>
    <w:rsid w:val="009C140A"/>
    <w:rsid w:val="009C1C07"/>
    <w:rsid w:val="009C259E"/>
    <w:rsid w:val="009C34BF"/>
    <w:rsid w:val="009C39A4"/>
    <w:rsid w:val="009C3F28"/>
    <w:rsid w:val="009C43EB"/>
    <w:rsid w:val="009C55E8"/>
    <w:rsid w:val="009C5753"/>
    <w:rsid w:val="009C58A6"/>
    <w:rsid w:val="009C5D1B"/>
    <w:rsid w:val="009C65E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8A0"/>
    <w:rsid w:val="00A01947"/>
    <w:rsid w:val="00A027F4"/>
    <w:rsid w:val="00A032CE"/>
    <w:rsid w:val="00A0332C"/>
    <w:rsid w:val="00A041E8"/>
    <w:rsid w:val="00A04DE0"/>
    <w:rsid w:val="00A04ED0"/>
    <w:rsid w:val="00A06B0E"/>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50BA"/>
    <w:rsid w:val="00A15A0A"/>
    <w:rsid w:val="00A15AA9"/>
    <w:rsid w:val="00A169DC"/>
    <w:rsid w:val="00A16ABD"/>
    <w:rsid w:val="00A17262"/>
    <w:rsid w:val="00A17E98"/>
    <w:rsid w:val="00A2074C"/>
    <w:rsid w:val="00A21424"/>
    <w:rsid w:val="00A21C19"/>
    <w:rsid w:val="00A21CEE"/>
    <w:rsid w:val="00A22250"/>
    <w:rsid w:val="00A223D2"/>
    <w:rsid w:val="00A22535"/>
    <w:rsid w:val="00A23159"/>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976E1"/>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129"/>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168"/>
    <w:rsid w:val="00AD4547"/>
    <w:rsid w:val="00AD46D1"/>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977"/>
    <w:rsid w:val="00AE78AC"/>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1089"/>
    <w:rsid w:val="00B21FA2"/>
    <w:rsid w:val="00B220C9"/>
    <w:rsid w:val="00B2235D"/>
    <w:rsid w:val="00B223A0"/>
    <w:rsid w:val="00B25551"/>
    <w:rsid w:val="00B255FF"/>
    <w:rsid w:val="00B25E3B"/>
    <w:rsid w:val="00B260AA"/>
    <w:rsid w:val="00B27A0D"/>
    <w:rsid w:val="00B27BDB"/>
    <w:rsid w:val="00B30219"/>
    <w:rsid w:val="00B3075E"/>
    <w:rsid w:val="00B30FC9"/>
    <w:rsid w:val="00B3193D"/>
    <w:rsid w:val="00B31AA3"/>
    <w:rsid w:val="00B31C8D"/>
    <w:rsid w:val="00B31D0F"/>
    <w:rsid w:val="00B322C8"/>
    <w:rsid w:val="00B32436"/>
    <w:rsid w:val="00B32B11"/>
    <w:rsid w:val="00B3311F"/>
    <w:rsid w:val="00B34199"/>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27F2"/>
    <w:rsid w:val="00B62ADC"/>
    <w:rsid w:val="00B62FC9"/>
    <w:rsid w:val="00B637B6"/>
    <w:rsid w:val="00B639EF"/>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8F2"/>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5DB9"/>
    <w:rsid w:val="00B97C27"/>
    <w:rsid w:val="00BA0F1F"/>
    <w:rsid w:val="00BA2519"/>
    <w:rsid w:val="00BA2979"/>
    <w:rsid w:val="00BA2E33"/>
    <w:rsid w:val="00BA3B6C"/>
    <w:rsid w:val="00BA3CDE"/>
    <w:rsid w:val="00BA4147"/>
    <w:rsid w:val="00BA47B6"/>
    <w:rsid w:val="00BA5DDE"/>
    <w:rsid w:val="00BA6E05"/>
    <w:rsid w:val="00BA79DD"/>
    <w:rsid w:val="00BB00A6"/>
    <w:rsid w:val="00BB05BD"/>
    <w:rsid w:val="00BB0BCA"/>
    <w:rsid w:val="00BB0CDA"/>
    <w:rsid w:val="00BB11E3"/>
    <w:rsid w:val="00BB138D"/>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9A4"/>
    <w:rsid w:val="00BC4E5B"/>
    <w:rsid w:val="00BC5C26"/>
    <w:rsid w:val="00BC6DDA"/>
    <w:rsid w:val="00BC7647"/>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31D2"/>
    <w:rsid w:val="00C43229"/>
    <w:rsid w:val="00C43CDF"/>
    <w:rsid w:val="00C46C0C"/>
    <w:rsid w:val="00C47823"/>
    <w:rsid w:val="00C479B0"/>
    <w:rsid w:val="00C50331"/>
    <w:rsid w:val="00C50489"/>
    <w:rsid w:val="00C51043"/>
    <w:rsid w:val="00C51FAF"/>
    <w:rsid w:val="00C5249E"/>
    <w:rsid w:val="00C52503"/>
    <w:rsid w:val="00C52FB0"/>
    <w:rsid w:val="00C5434A"/>
    <w:rsid w:val="00C544CE"/>
    <w:rsid w:val="00C55150"/>
    <w:rsid w:val="00C561FF"/>
    <w:rsid w:val="00C56A02"/>
    <w:rsid w:val="00C56BDE"/>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213D"/>
    <w:rsid w:val="00C834B4"/>
    <w:rsid w:val="00C83902"/>
    <w:rsid w:val="00C83B8B"/>
    <w:rsid w:val="00C840F8"/>
    <w:rsid w:val="00C84729"/>
    <w:rsid w:val="00C84E4A"/>
    <w:rsid w:val="00C85920"/>
    <w:rsid w:val="00C861FB"/>
    <w:rsid w:val="00C8754D"/>
    <w:rsid w:val="00C906B5"/>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5FFB"/>
    <w:rsid w:val="00CB6122"/>
    <w:rsid w:val="00CB6AF0"/>
    <w:rsid w:val="00CB6BDB"/>
    <w:rsid w:val="00CB6F8E"/>
    <w:rsid w:val="00CC081C"/>
    <w:rsid w:val="00CC0BB2"/>
    <w:rsid w:val="00CC0F5B"/>
    <w:rsid w:val="00CC11D7"/>
    <w:rsid w:val="00CC122B"/>
    <w:rsid w:val="00CC168B"/>
    <w:rsid w:val="00CC2D33"/>
    <w:rsid w:val="00CC2D87"/>
    <w:rsid w:val="00CC44EF"/>
    <w:rsid w:val="00CC497B"/>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3415"/>
    <w:rsid w:val="00CE3A2A"/>
    <w:rsid w:val="00CE3AAF"/>
    <w:rsid w:val="00CE3BEF"/>
    <w:rsid w:val="00CE3F1A"/>
    <w:rsid w:val="00CE4793"/>
    <w:rsid w:val="00CE4FD3"/>
    <w:rsid w:val="00CE582F"/>
    <w:rsid w:val="00CE5E9D"/>
    <w:rsid w:val="00CE630A"/>
    <w:rsid w:val="00CE714C"/>
    <w:rsid w:val="00CF1509"/>
    <w:rsid w:val="00CF1CA6"/>
    <w:rsid w:val="00CF233B"/>
    <w:rsid w:val="00CF3222"/>
    <w:rsid w:val="00CF3CD6"/>
    <w:rsid w:val="00CF47EC"/>
    <w:rsid w:val="00CF5FFE"/>
    <w:rsid w:val="00CF6B19"/>
    <w:rsid w:val="00CF7551"/>
    <w:rsid w:val="00CF7B71"/>
    <w:rsid w:val="00CF7C55"/>
    <w:rsid w:val="00D00A82"/>
    <w:rsid w:val="00D0171F"/>
    <w:rsid w:val="00D0186E"/>
    <w:rsid w:val="00D01C52"/>
    <w:rsid w:val="00D01D9B"/>
    <w:rsid w:val="00D0348B"/>
    <w:rsid w:val="00D0367E"/>
    <w:rsid w:val="00D0471F"/>
    <w:rsid w:val="00D052E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737"/>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E7"/>
    <w:rsid w:val="00D81EF8"/>
    <w:rsid w:val="00D81FF9"/>
    <w:rsid w:val="00D82589"/>
    <w:rsid w:val="00D826DE"/>
    <w:rsid w:val="00D82BDD"/>
    <w:rsid w:val="00D847FD"/>
    <w:rsid w:val="00D84BB7"/>
    <w:rsid w:val="00D85150"/>
    <w:rsid w:val="00D85940"/>
    <w:rsid w:val="00D8598F"/>
    <w:rsid w:val="00D86030"/>
    <w:rsid w:val="00D8612E"/>
    <w:rsid w:val="00D86425"/>
    <w:rsid w:val="00D86BB2"/>
    <w:rsid w:val="00D86BFE"/>
    <w:rsid w:val="00D86DE6"/>
    <w:rsid w:val="00D87187"/>
    <w:rsid w:val="00D8721E"/>
    <w:rsid w:val="00D87659"/>
    <w:rsid w:val="00D879F3"/>
    <w:rsid w:val="00D87E00"/>
    <w:rsid w:val="00D901F1"/>
    <w:rsid w:val="00D9033D"/>
    <w:rsid w:val="00D9134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354"/>
    <w:rsid w:val="00DA47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975"/>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5D5"/>
    <w:rsid w:val="00DD5C77"/>
    <w:rsid w:val="00DD5EF1"/>
    <w:rsid w:val="00DD689A"/>
    <w:rsid w:val="00DE0495"/>
    <w:rsid w:val="00DE0D50"/>
    <w:rsid w:val="00DE1045"/>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7AA"/>
    <w:rsid w:val="00E26844"/>
    <w:rsid w:val="00E27480"/>
    <w:rsid w:val="00E2784A"/>
    <w:rsid w:val="00E27EBA"/>
    <w:rsid w:val="00E27F28"/>
    <w:rsid w:val="00E30C69"/>
    <w:rsid w:val="00E30CD5"/>
    <w:rsid w:val="00E32393"/>
    <w:rsid w:val="00E331E7"/>
    <w:rsid w:val="00E3328B"/>
    <w:rsid w:val="00E3347C"/>
    <w:rsid w:val="00E338CF"/>
    <w:rsid w:val="00E34D58"/>
    <w:rsid w:val="00E34EAB"/>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EA8"/>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CD8"/>
    <w:rsid w:val="00E94F5D"/>
    <w:rsid w:val="00E95208"/>
    <w:rsid w:val="00E95262"/>
    <w:rsid w:val="00E95479"/>
    <w:rsid w:val="00E9596D"/>
    <w:rsid w:val="00E96473"/>
    <w:rsid w:val="00E973FD"/>
    <w:rsid w:val="00EA1FF1"/>
    <w:rsid w:val="00EA22F8"/>
    <w:rsid w:val="00EA245D"/>
    <w:rsid w:val="00EA355B"/>
    <w:rsid w:val="00EA39BC"/>
    <w:rsid w:val="00EA45DC"/>
    <w:rsid w:val="00EA48A9"/>
    <w:rsid w:val="00EA5774"/>
    <w:rsid w:val="00EA6499"/>
    <w:rsid w:val="00EA65B6"/>
    <w:rsid w:val="00EA6EBB"/>
    <w:rsid w:val="00EA733A"/>
    <w:rsid w:val="00EB040F"/>
    <w:rsid w:val="00EB0BA3"/>
    <w:rsid w:val="00EB0C2E"/>
    <w:rsid w:val="00EB1E64"/>
    <w:rsid w:val="00EB339D"/>
    <w:rsid w:val="00EB4384"/>
    <w:rsid w:val="00EB46A1"/>
    <w:rsid w:val="00EB5313"/>
    <w:rsid w:val="00EB5D04"/>
    <w:rsid w:val="00EB5F51"/>
    <w:rsid w:val="00EB60BA"/>
    <w:rsid w:val="00EC1E91"/>
    <w:rsid w:val="00EC2121"/>
    <w:rsid w:val="00EC249A"/>
    <w:rsid w:val="00EC2FAC"/>
    <w:rsid w:val="00EC34F7"/>
    <w:rsid w:val="00EC3973"/>
    <w:rsid w:val="00EC3B43"/>
    <w:rsid w:val="00EC3B82"/>
    <w:rsid w:val="00EC4602"/>
    <w:rsid w:val="00EC4944"/>
    <w:rsid w:val="00EC4A25"/>
    <w:rsid w:val="00EC5651"/>
    <w:rsid w:val="00EC5D12"/>
    <w:rsid w:val="00EC5FAA"/>
    <w:rsid w:val="00EC6065"/>
    <w:rsid w:val="00EC6ACB"/>
    <w:rsid w:val="00EC7F98"/>
    <w:rsid w:val="00ED0789"/>
    <w:rsid w:val="00ED0EFF"/>
    <w:rsid w:val="00ED2521"/>
    <w:rsid w:val="00ED2CF8"/>
    <w:rsid w:val="00ED2F17"/>
    <w:rsid w:val="00ED393B"/>
    <w:rsid w:val="00ED4E9C"/>
    <w:rsid w:val="00ED52E9"/>
    <w:rsid w:val="00ED5E48"/>
    <w:rsid w:val="00ED64CF"/>
    <w:rsid w:val="00ED711F"/>
    <w:rsid w:val="00ED72C6"/>
    <w:rsid w:val="00ED763D"/>
    <w:rsid w:val="00ED7B26"/>
    <w:rsid w:val="00EE089B"/>
    <w:rsid w:val="00EE13A8"/>
    <w:rsid w:val="00EE1B94"/>
    <w:rsid w:val="00EE1F8C"/>
    <w:rsid w:val="00EE2AB6"/>
    <w:rsid w:val="00EE2AEF"/>
    <w:rsid w:val="00EE2D28"/>
    <w:rsid w:val="00EE2F4D"/>
    <w:rsid w:val="00EE30C0"/>
    <w:rsid w:val="00EE3DD3"/>
    <w:rsid w:val="00EE4161"/>
    <w:rsid w:val="00EE43F8"/>
    <w:rsid w:val="00EE5365"/>
    <w:rsid w:val="00EE61B4"/>
    <w:rsid w:val="00EE682F"/>
    <w:rsid w:val="00EE6866"/>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52B"/>
    <w:rsid w:val="00F01105"/>
    <w:rsid w:val="00F01227"/>
    <w:rsid w:val="00F0123E"/>
    <w:rsid w:val="00F019EA"/>
    <w:rsid w:val="00F01A15"/>
    <w:rsid w:val="00F025A2"/>
    <w:rsid w:val="00F0286C"/>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5E9E"/>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35B"/>
    <w:rsid w:val="00F60A44"/>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EE"/>
    <w:rsid w:val="00F73F66"/>
    <w:rsid w:val="00F74522"/>
    <w:rsid w:val="00F745F5"/>
    <w:rsid w:val="00F751AE"/>
    <w:rsid w:val="00F75F4C"/>
    <w:rsid w:val="00F76A37"/>
    <w:rsid w:val="00F76C5A"/>
    <w:rsid w:val="00F76F8F"/>
    <w:rsid w:val="00F774C9"/>
    <w:rsid w:val="00F81F8F"/>
    <w:rsid w:val="00F823C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2DE"/>
    <w:rsid w:val="00FA3531"/>
    <w:rsid w:val="00FA40DD"/>
    <w:rsid w:val="00FA48E3"/>
    <w:rsid w:val="00FA4EC2"/>
    <w:rsid w:val="00FA5A33"/>
    <w:rsid w:val="00FA6682"/>
    <w:rsid w:val="00FA7582"/>
    <w:rsid w:val="00FA75A6"/>
    <w:rsid w:val="00FA7E47"/>
    <w:rsid w:val="00FB05DC"/>
    <w:rsid w:val="00FB0C67"/>
    <w:rsid w:val="00FB2783"/>
    <w:rsid w:val="00FB3DCA"/>
    <w:rsid w:val="00FB3FA5"/>
    <w:rsid w:val="00FB4185"/>
    <w:rsid w:val="00FB4978"/>
    <w:rsid w:val="00FB4FBA"/>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uiPriority="10" w:qFormat="1"/>
    <w:lsdException w:name="Subtitle" w:uiPriority="11"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qFormat/>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qFormat/>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qFormat/>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B0">
    <w:name w:val="B0"/>
    <w:basedOn w:val="B10"/>
    <w:qFormat/>
    <w:rsid w:val="00FB4FBA"/>
    <w:pPr>
      <w:overflowPunct w:val="0"/>
      <w:autoSpaceDE w:val="0"/>
      <w:autoSpaceDN w:val="0"/>
      <w:adjustRightInd w:val="0"/>
      <w:ind w:left="284"/>
      <w:textAlignment w:val="baseline"/>
    </w:pPr>
    <w:rPr>
      <w:rFonts w:eastAsia="MS Mincho"/>
      <w:lang w:eastAsia="ja-JP"/>
    </w:rPr>
  </w:style>
  <w:style w:type="numbering" w:customStyle="1" w:styleId="210">
    <w:name w:val="列表编号21"/>
    <w:basedOn w:val="NoList"/>
    <w:rsid w:val="00FB4FBA"/>
  </w:style>
  <w:style w:type="numbering" w:customStyle="1" w:styleId="110">
    <w:name w:val="项目编号11"/>
    <w:basedOn w:val="NoList"/>
    <w:rsid w:val="00FB4FBA"/>
  </w:style>
  <w:style w:type="numbering" w:customStyle="1" w:styleId="22">
    <w:name w:val="列表编号22"/>
    <w:basedOn w:val="NoList"/>
    <w:rsid w:val="00FB4FBA"/>
  </w:style>
  <w:style w:type="numbering" w:customStyle="1" w:styleId="120">
    <w:name w:val="项目编号12"/>
    <w:basedOn w:val="NoList"/>
    <w:rsid w:val="00FB4FBA"/>
  </w:style>
  <w:style w:type="paragraph" w:styleId="Title">
    <w:name w:val="Title"/>
    <w:basedOn w:val="Normal"/>
    <w:next w:val="Normal"/>
    <w:link w:val="TitleChar"/>
    <w:uiPriority w:val="10"/>
    <w:qFormat/>
    <w:rsid w:val="007100D1"/>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100D1"/>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100D1"/>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100D1"/>
    <w:rPr>
      <w:rFonts w:eastAsiaTheme="majorEastAsia"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100D1"/>
    <w:pPr>
      <w:overflowPunct w:val="0"/>
      <w:autoSpaceDE w:val="0"/>
      <w:autoSpaceDN w:val="0"/>
      <w:adjustRightInd w:val="0"/>
      <w:spacing w:before="160"/>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7100D1"/>
    <w:rPr>
      <w:rFonts w:eastAsia="Times New Roman"/>
      <w:i/>
      <w:iCs/>
      <w:color w:val="404040" w:themeColor="text1" w:themeTint="BF"/>
      <w:lang w:val="en-GB" w:eastAsia="ko-KR"/>
    </w:rPr>
  </w:style>
  <w:style w:type="character" w:styleId="IntenseEmphasis">
    <w:name w:val="Intense Emphasis"/>
    <w:basedOn w:val="DefaultParagraphFont"/>
    <w:uiPriority w:val="21"/>
    <w:qFormat/>
    <w:rsid w:val="007100D1"/>
    <w:rPr>
      <w:i/>
      <w:iCs/>
      <w:color w:val="2F5496" w:themeColor="accent1" w:themeShade="BF"/>
    </w:rPr>
  </w:style>
  <w:style w:type="paragraph" w:styleId="IntenseQuote">
    <w:name w:val="Intense Quote"/>
    <w:basedOn w:val="Normal"/>
    <w:next w:val="Normal"/>
    <w:link w:val="IntenseQuoteChar"/>
    <w:uiPriority w:val="30"/>
    <w:qFormat/>
    <w:rsid w:val="007100D1"/>
    <w:pPr>
      <w:pBdr>
        <w:top w:val="single" w:sz="4" w:space="10" w:color="2F5496" w:themeColor="accent1" w:themeShade="BF"/>
        <w:bottom w:val="single" w:sz="4" w:space="10" w:color="2F5496"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2F5496" w:themeColor="accent1" w:themeShade="BF"/>
      <w:lang w:eastAsia="ko-KR"/>
    </w:rPr>
  </w:style>
  <w:style w:type="character" w:customStyle="1" w:styleId="IntenseQuoteChar">
    <w:name w:val="Intense Quote Char"/>
    <w:basedOn w:val="DefaultParagraphFont"/>
    <w:link w:val="IntenseQuote"/>
    <w:uiPriority w:val="30"/>
    <w:rsid w:val="007100D1"/>
    <w:rPr>
      <w:rFonts w:eastAsia="Times New Roman"/>
      <w:i/>
      <w:iCs/>
      <w:color w:val="2F5496" w:themeColor="accent1" w:themeShade="BF"/>
      <w:lang w:val="en-GB" w:eastAsia="ko-KR"/>
    </w:rPr>
  </w:style>
  <w:style w:type="character" w:styleId="IntenseReference">
    <w:name w:val="Intense Reference"/>
    <w:basedOn w:val="DefaultParagraphFont"/>
    <w:uiPriority w:val="32"/>
    <w:qFormat/>
    <w:rsid w:val="007100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RBI5PAMIO524-1616901215-29715</_dlc_DocId>
    <_dlc_DocIdUrl xmlns="71c5aaf6-e6ce-465b-b873-5148d2a4c105">
      <Url>https://nokia.sharepoint.com/sites/gxp/_layouts/15/DocIdRedir.aspx?ID=RBI5PAMIO524-1616901215-29715</Url>
      <Description>RBI5PAMIO524-1616901215-29715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4</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cp:revision>
  <dcterms:created xsi:type="dcterms:W3CDTF">2024-10-02T10:37:00Z</dcterms:created>
  <dcterms:modified xsi:type="dcterms:W3CDTF">2024-10-02T10:38:00Z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9e49d507-3d34-442a-a2c2-5ca153d0d10f</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